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B862DA" w:rsidR="00014566" w:rsidP="00B862DA" w:rsidRDefault="00014566">
      <w:pPr>
        <w:pStyle w:val="ECHRDecisionBody"/>
        <w:jc w:val="center"/>
        <w:rPr>
          <w:lang w:val="en-GB"/>
        </w:rPr>
      </w:pPr>
      <w:bookmarkStart w:name="_GoBack" w:id="0"/>
      <w:bookmarkEnd w:id="0"/>
    </w:p>
    <w:p w:rsidRPr="00B862DA" w:rsidR="00A9538E" w:rsidP="00B862DA" w:rsidRDefault="00A9538E">
      <w:pPr>
        <w:pStyle w:val="ECHRDecisionBody"/>
        <w:jc w:val="center"/>
        <w:rPr>
          <w:lang w:val="en-GB"/>
        </w:rPr>
      </w:pPr>
    </w:p>
    <w:p w:rsidRPr="00B862DA" w:rsidR="00A9538E" w:rsidP="00B862DA" w:rsidRDefault="00A9538E">
      <w:pPr>
        <w:pStyle w:val="ECHRDecisionBody"/>
        <w:jc w:val="center"/>
        <w:rPr>
          <w:lang w:val="en-GB"/>
        </w:rPr>
      </w:pPr>
    </w:p>
    <w:p w:rsidRPr="00B862DA" w:rsidR="00014566" w:rsidP="00B862DA" w:rsidRDefault="00723D72">
      <w:pPr>
        <w:jc w:val="center"/>
        <w:rPr>
          <w:lang w:val="en-GB"/>
        </w:rPr>
      </w:pPr>
      <w:r w:rsidRPr="00B862DA">
        <w:rPr>
          <w:lang w:val="en-GB"/>
        </w:rPr>
        <w:t>THIRD SECTION</w:t>
      </w:r>
    </w:p>
    <w:p w:rsidRPr="00B862DA" w:rsidR="00014566" w:rsidP="00B862DA" w:rsidRDefault="00014566">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014566" w:rsidP="00B862DA" w:rsidRDefault="00014566">
      <w:pPr>
        <w:jc w:val="center"/>
        <w:rPr>
          <w:b/>
          <w:lang w:val="en-GB"/>
        </w:rPr>
      </w:pPr>
      <w:bookmarkStart w:name="To" w:id="1"/>
      <w:r w:rsidRPr="00B862DA">
        <w:rPr>
          <w:b/>
          <w:lang w:val="en-GB"/>
        </w:rPr>
        <w:t xml:space="preserve">CASE OF </w:t>
      </w:r>
      <w:bookmarkEnd w:id="1"/>
      <w:r w:rsidRPr="00B862DA" w:rsidR="00723D72">
        <w:rPr>
          <w:b/>
          <w:lang w:val="en-GB"/>
        </w:rPr>
        <w:t>PAKHTUSOV v. RUSSIA</w:t>
      </w:r>
    </w:p>
    <w:p w:rsidRPr="00B862DA" w:rsidR="00014566" w:rsidP="00B862DA" w:rsidRDefault="00014566">
      <w:pPr>
        <w:jc w:val="center"/>
        <w:rPr>
          <w:lang w:val="en-GB"/>
        </w:rPr>
      </w:pPr>
    </w:p>
    <w:p w:rsidRPr="00B862DA" w:rsidR="00014566" w:rsidP="00B862DA" w:rsidRDefault="00014566">
      <w:pPr>
        <w:jc w:val="center"/>
        <w:rPr>
          <w:i/>
          <w:lang w:val="en-GB"/>
        </w:rPr>
      </w:pPr>
      <w:r w:rsidRPr="00B862DA">
        <w:rPr>
          <w:i/>
          <w:lang w:val="en-GB"/>
        </w:rPr>
        <w:t>(</w:t>
      </w:r>
      <w:r w:rsidRPr="00B862DA" w:rsidR="00723D72">
        <w:rPr>
          <w:i/>
          <w:lang w:val="en-GB"/>
        </w:rPr>
        <w:t>Application no. 11800/10</w:t>
      </w:r>
      <w:r w:rsidRPr="00B862DA">
        <w:rPr>
          <w:i/>
          <w:lang w:val="en-GB"/>
        </w:rPr>
        <w:t>)</w:t>
      </w:r>
    </w:p>
    <w:p w:rsidRPr="00B862DA" w:rsidR="00014566" w:rsidP="00B862DA" w:rsidRDefault="00014566">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A9538E" w:rsidP="00B862DA" w:rsidRDefault="00A9538E">
      <w:pPr>
        <w:jc w:val="center"/>
        <w:rPr>
          <w:lang w:val="en-GB"/>
        </w:rPr>
      </w:pPr>
    </w:p>
    <w:p w:rsidRPr="00B862DA" w:rsidR="00014566" w:rsidP="00B862DA" w:rsidRDefault="00A9538E">
      <w:pPr>
        <w:jc w:val="center"/>
        <w:rPr>
          <w:lang w:val="en-GB"/>
        </w:rPr>
      </w:pPr>
      <w:r w:rsidRPr="00B862DA">
        <w:rPr>
          <w:lang w:val="en-GB"/>
        </w:rPr>
        <w:t>JUDGMENT</w:t>
      </w:r>
    </w:p>
    <w:p w:rsidRPr="00B862DA" w:rsidR="00014566" w:rsidP="00B862DA" w:rsidRDefault="00014566">
      <w:pPr>
        <w:jc w:val="center"/>
        <w:rPr>
          <w:szCs w:val="24"/>
          <w:lang w:val="en-GB"/>
        </w:rPr>
      </w:pPr>
    </w:p>
    <w:p w:rsidRPr="00B862DA" w:rsidR="00A9538E" w:rsidP="00B862DA" w:rsidRDefault="00A9538E">
      <w:pPr>
        <w:pStyle w:val="JuCase"/>
        <w:ind w:firstLine="0"/>
        <w:jc w:val="center"/>
        <w:rPr>
          <w:b w:val="0"/>
          <w:lang w:val="en-GB"/>
        </w:rPr>
      </w:pPr>
    </w:p>
    <w:p w:rsidRPr="00B862DA" w:rsidR="00A9538E" w:rsidP="00B862DA" w:rsidRDefault="00A9538E">
      <w:pPr>
        <w:pStyle w:val="JuCase"/>
        <w:ind w:firstLine="0"/>
        <w:jc w:val="center"/>
        <w:rPr>
          <w:b w:val="0"/>
          <w:lang w:val="en-GB"/>
        </w:rPr>
      </w:pPr>
    </w:p>
    <w:p w:rsidRPr="00B862DA" w:rsidR="00A9538E" w:rsidP="00B862DA" w:rsidRDefault="00A9538E">
      <w:pPr>
        <w:pStyle w:val="JuCase"/>
        <w:ind w:firstLine="0"/>
        <w:jc w:val="center"/>
        <w:rPr>
          <w:b w:val="0"/>
          <w:lang w:val="en-GB"/>
        </w:rPr>
      </w:pPr>
      <w:r w:rsidRPr="00B862DA">
        <w:rPr>
          <w:b w:val="0"/>
          <w:lang w:val="en-GB"/>
        </w:rPr>
        <w:t>STRASBOURG</w:t>
      </w:r>
    </w:p>
    <w:p w:rsidRPr="00B862DA" w:rsidR="00A9538E" w:rsidP="00B862DA" w:rsidRDefault="00A9538E">
      <w:pPr>
        <w:pStyle w:val="JuCase"/>
        <w:ind w:firstLine="0"/>
        <w:jc w:val="center"/>
        <w:rPr>
          <w:b w:val="0"/>
          <w:lang w:val="en-GB"/>
        </w:rPr>
      </w:pPr>
    </w:p>
    <w:p w:rsidRPr="00B862DA" w:rsidR="00A9538E" w:rsidP="00B862DA" w:rsidRDefault="00A9538E">
      <w:pPr>
        <w:pStyle w:val="JuCase"/>
        <w:ind w:firstLine="0"/>
        <w:jc w:val="center"/>
        <w:rPr>
          <w:b w:val="0"/>
          <w:lang w:val="en-GB"/>
        </w:rPr>
      </w:pPr>
      <w:r w:rsidRPr="00B862DA">
        <w:rPr>
          <w:b w:val="0"/>
        </w:rPr>
        <w:t xml:space="preserve">16 </w:t>
      </w:r>
      <w:r w:rsidRPr="00B862DA">
        <w:rPr>
          <w:b w:val="0"/>
          <w:lang w:val="en-GB"/>
        </w:rPr>
        <w:t>May 2017</w:t>
      </w:r>
    </w:p>
    <w:p w:rsidRPr="00B862DA" w:rsidR="00A9538E" w:rsidP="00B862DA" w:rsidRDefault="00A9538E">
      <w:pPr>
        <w:pStyle w:val="JuCase"/>
        <w:ind w:firstLine="0"/>
        <w:jc w:val="center"/>
        <w:rPr>
          <w:b w:val="0"/>
          <w:lang w:val="en-GB"/>
        </w:rPr>
      </w:pPr>
    </w:p>
    <w:p w:rsidRPr="00B862DA" w:rsidR="00A9538E" w:rsidP="00B862DA" w:rsidRDefault="00A9538E">
      <w:pPr>
        <w:pStyle w:val="ECHRPara"/>
        <w:ind w:firstLine="0"/>
        <w:jc w:val="center"/>
        <w:rPr>
          <w:lang w:val="en-GB"/>
        </w:rPr>
      </w:pPr>
    </w:p>
    <w:p w:rsidRPr="00B862DA" w:rsidR="00A9538E" w:rsidP="00B862DA" w:rsidRDefault="00A9538E">
      <w:pPr>
        <w:pStyle w:val="ECHRPara"/>
        <w:ind w:firstLine="0"/>
        <w:jc w:val="center"/>
        <w:rPr>
          <w:lang w:val="en-GB"/>
        </w:rPr>
      </w:pPr>
    </w:p>
    <w:p w:rsidRPr="00B862DA" w:rsidR="00B862DA" w:rsidP="00B862DA" w:rsidRDefault="00B862DA">
      <w:pPr>
        <w:pStyle w:val="jucase0"/>
        <w:ind w:firstLine="0"/>
        <w:jc w:val="center"/>
        <w:rPr>
          <w:color w:val="FF0000"/>
          <w:sz w:val="28"/>
          <w:szCs w:val="28"/>
          <w:u w:val="single"/>
        </w:rPr>
      </w:pPr>
      <w:r w:rsidRPr="00B862DA">
        <w:rPr>
          <w:color w:val="FF0000"/>
          <w:sz w:val="28"/>
          <w:szCs w:val="28"/>
          <w:u w:val="single"/>
        </w:rPr>
        <w:t>FINAL</w:t>
      </w:r>
    </w:p>
    <w:p w:rsidRPr="00B862DA" w:rsidR="00B862DA" w:rsidP="00B862DA" w:rsidRDefault="00B862DA">
      <w:pPr>
        <w:pStyle w:val="jupara"/>
        <w:tabs>
          <w:tab w:val="left" w:pos="4650"/>
        </w:tabs>
        <w:ind w:firstLine="0"/>
        <w:jc w:val="center"/>
        <w:rPr>
          <w:color w:val="FF0000"/>
          <w:sz w:val="28"/>
          <w:szCs w:val="28"/>
        </w:rPr>
      </w:pPr>
    </w:p>
    <w:p w:rsidRPr="00B862DA" w:rsidR="00B862DA" w:rsidP="00B862DA" w:rsidRDefault="00B862DA">
      <w:pPr>
        <w:pStyle w:val="jupara"/>
        <w:ind w:firstLine="0"/>
        <w:jc w:val="center"/>
        <w:rPr>
          <w:color w:val="FF0000"/>
          <w:sz w:val="28"/>
          <w:szCs w:val="28"/>
        </w:rPr>
      </w:pPr>
      <w:r w:rsidRPr="00B862DA">
        <w:rPr>
          <w:color w:val="FF0000"/>
          <w:sz w:val="28"/>
          <w:szCs w:val="28"/>
        </w:rPr>
        <w:t>16/08/2017</w:t>
      </w:r>
    </w:p>
    <w:p w:rsidRPr="00B862DA" w:rsidR="00B862DA" w:rsidP="00B862DA" w:rsidRDefault="00B862DA">
      <w:pPr>
        <w:pStyle w:val="jupara"/>
        <w:ind w:firstLine="0"/>
        <w:jc w:val="center"/>
      </w:pPr>
    </w:p>
    <w:p w:rsidRPr="00B862DA" w:rsidR="00B862DA" w:rsidP="00B862DA" w:rsidRDefault="00B862DA">
      <w:pPr>
        <w:jc w:val="center"/>
        <w:rPr>
          <w:i/>
          <w:iCs/>
          <w:sz w:val="22"/>
        </w:rPr>
      </w:pPr>
      <w:r w:rsidRPr="00B862DA">
        <w:rPr>
          <w:i/>
          <w:iCs/>
          <w:sz w:val="22"/>
        </w:rPr>
        <w:t>This judgment has become final under Article 44 § 2 of the Convention. It may be subject to editorial revision.</w:t>
      </w:r>
    </w:p>
    <w:p w:rsidRPr="00B862DA" w:rsidR="00B862DA" w:rsidP="00B862DA" w:rsidRDefault="00B862DA">
      <w:pPr>
        <w:jc w:val="center"/>
      </w:pPr>
    </w:p>
    <w:p w:rsidRPr="00B862DA" w:rsidR="00A9538E" w:rsidP="00B862DA" w:rsidRDefault="00A9538E">
      <w:pPr>
        <w:pStyle w:val="JuCase"/>
        <w:ind w:firstLine="0"/>
        <w:jc w:val="left"/>
        <w:rPr>
          <w:b w:val="0"/>
        </w:rPr>
        <w:sectPr w:rsidRPr="00B862DA" w:rsidR="00A9538E" w:rsidSect="00A9538E">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B862DA" w:rsidR="00014566" w:rsidP="00B862DA" w:rsidRDefault="00014566">
      <w:pPr>
        <w:pStyle w:val="JuCase"/>
        <w:rPr>
          <w:bCs/>
          <w:lang w:val="en-GB"/>
        </w:rPr>
      </w:pPr>
      <w:r w:rsidRPr="00B862DA">
        <w:rPr>
          <w:lang w:val="en-GB"/>
        </w:rPr>
        <w:t xml:space="preserve">In the case of </w:t>
      </w:r>
      <w:r w:rsidRPr="00B862DA" w:rsidR="00723D72">
        <w:rPr>
          <w:lang w:val="en-GB"/>
        </w:rPr>
        <w:t>Pakhtusov v. Russia</w:t>
      </w:r>
      <w:r w:rsidRPr="00B862DA">
        <w:rPr>
          <w:lang w:val="en-GB"/>
        </w:rPr>
        <w:t>,</w:t>
      </w:r>
    </w:p>
    <w:p w:rsidRPr="00B862DA" w:rsidR="00014566" w:rsidP="00B862DA" w:rsidRDefault="00014566">
      <w:pPr>
        <w:pStyle w:val="ECHRPara"/>
        <w:rPr>
          <w:lang w:val="en-GB"/>
        </w:rPr>
      </w:pPr>
      <w:r w:rsidRPr="00B862DA">
        <w:rPr>
          <w:lang w:val="en-GB"/>
        </w:rPr>
        <w:t>The European Court of Human Rights (</w:t>
      </w:r>
      <w:r w:rsidRPr="00B862DA" w:rsidR="00723D72">
        <w:rPr>
          <w:lang w:val="en-GB"/>
        </w:rPr>
        <w:t>Third Section</w:t>
      </w:r>
      <w:r w:rsidRPr="00B862DA">
        <w:rPr>
          <w:lang w:val="en-GB"/>
        </w:rPr>
        <w:t xml:space="preserve">), sitting as a </w:t>
      </w:r>
      <w:r w:rsidRPr="00B862DA" w:rsidR="00723D72">
        <w:rPr>
          <w:lang w:val="en-GB"/>
        </w:rPr>
        <w:t>Chamber</w:t>
      </w:r>
      <w:r w:rsidRPr="00B862DA">
        <w:rPr>
          <w:lang w:val="en-GB"/>
        </w:rPr>
        <w:t xml:space="preserve"> composed of:</w:t>
      </w:r>
    </w:p>
    <w:p w:rsidRPr="00B862DA" w:rsidR="00014566" w:rsidP="00B862DA" w:rsidRDefault="00A9538E">
      <w:pPr>
        <w:pStyle w:val="ECHRDecisionBody"/>
        <w:rPr>
          <w:lang w:val="en-GB"/>
        </w:rPr>
      </w:pPr>
      <w:r w:rsidRPr="00B862DA">
        <w:tab/>
        <w:t>Helena Jäderblom,</w:t>
      </w:r>
      <w:r w:rsidRPr="00B862DA">
        <w:rPr>
          <w:i/>
        </w:rPr>
        <w:t xml:space="preserve"> President,</w:t>
      </w:r>
      <w:r w:rsidRPr="00B862DA">
        <w:rPr>
          <w:i/>
        </w:rPr>
        <w:br/>
      </w:r>
      <w:r w:rsidRPr="00B862DA">
        <w:tab/>
        <w:t>Branko Lubarda,</w:t>
      </w:r>
      <w:r w:rsidRPr="00B862DA">
        <w:rPr>
          <w:i/>
        </w:rPr>
        <w:br/>
      </w:r>
      <w:r w:rsidRPr="00B862DA">
        <w:tab/>
        <w:t>Luis López Guerra,</w:t>
      </w:r>
      <w:r w:rsidRPr="00B862DA">
        <w:rPr>
          <w:i/>
        </w:rPr>
        <w:br/>
      </w:r>
      <w:r w:rsidRPr="00B862DA">
        <w:tab/>
        <w:t>Helen Keller,</w:t>
      </w:r>
      <w:r w:rsidRPr="00B862DA">
        <w:rPr>
          <w:i/>
        </w:rPr>
        <w:br/>
      </w:r>
      <w:r w:rsidRPr="00B862DA">
        <w:tab/>
        <w:t>Dmitry Dedov,</w:t>
      </w:r>
      <w:r w:rsidRPr="00B862DA">
        <w:rPr>
          <w:i/>
        </w:rPr>
        <w:br/>
      </w:r>
      <w:r w:rsidRPr="00B862DA">
        <w:tab/>
        <w:t>Georgios A. Serghides,</w:t>
      </w:r>
      <w:r w:rsidRPr="00B862DA">
        <w:rPr>
          <w:i/>
        </w:rPr>
        <w:br/>
      </w:r>
      <w:r w:rsidRPr="00B862DA">
        <w:tab/>
        <w:t>Jolien Schukking,</w:t>
      </w:r>
      <w:r w:rsidRPr="00B862DA">
        <w:rPr>
          <w:i/>
        </w:rPr>
        <w:t xml:space="preserve"> judges,</w:t>
      </w:r>
      <w:r w:rsidRPr="00B862DA" w:rsidR="00014566">
        <w:rPr>
          <w:szCs w:val="24"/>
          <w:lang w:val="en-GB"/>
        </w:rPr>
        <w:br/>
      </w:r>
      <w:r w:rsidRPr="00B862DA" w:rsidR="00014566">
        <w:rPr>
          <w:lang w:val="en-GB"/>
        </w:rPr>
        <w:t xml:space="preserve">and </w:t>
      </w:r>
      <w:r w:rsidRPr="00B862DA" w:rsidR="00723D72">
        <w:rPr>
          <w:lang w:val="en-GB"/>
        </w:rPr>
        <w:t>Stephen Phillips</w:t>
      </w:r>
      <w:r w:rsidRPr="00B862DA" w:rsidR="00014566">
        <w:rPr>
          <w:lang w:val="en-GB"/>
        </w:rPr>
        <w:t xml:space="preserve">, </w:t>
      </w:r>
      <w:r w:rsidRPr="00B862DA" w:rsidR="00723D72">
        <w:rPr>
          <w:i/>
          <w:lang w:val="en-GB"/>
        </w:rPr>
        <w:t xml:space="preserve">Section </w:t>
      </w:r>
      <w:r w:rsidRPr="00B862DA" w:rsidR="00723D72">
        <w:rPr>
          <w:i/>
          <w:iCs/>
          <w:lang w:val="en-GB"/>
        </w:rPr>
        <w:t>Registrar</w:t>
      </w:r>
      <w:r w:rsidRPr="00B862DA" w:rsidR="00014566">
        <w:rPr>
          <w:i/>
          <w:lang w:val="en-GB"/>
        </w:rPr>
        <w:t>,</w:t>
      </w:r>
    </w:p>
    <w:p w:rsidRPr="00B862DA" w:rsidR="00014566" w:rsidP="00B862DA" w:rsidRDefault="00014566">
      <w:pPr>
        <w:pStyle w:val="ECHRPara"/>
        <w:rPr>
          <w:lang w:val="en-GB"/>
        </w:rPr>
      </w:pPr>
      <w:r w:rsidRPr="00B862DA">
        <w:rPr>
          <w:lang w:val="en-GB"/>
        </w:rPr>
        <w:t xml:space="preserve">Having deliberated in private on </w:t>
      </w:r>
      <w:r w:rsidRPr="00B862DA" w:rsidR="00A9538E">
        <w:rPr>
          <w:lang w:val="en-GB"/>
        </w:rPr>
        <w:t>25 April 2017</w:t>
      </w:r>
      <w:r w:rsidRPr="00B862DA">
        <w:rPr>
          <w:lang w:val="en-GB"/>
        </w:rPr>
        <w:t>,</w:t>
      </w:r>
    </w:p>
    <w:p w:rsidRPr="00B862DA" w:rsidR="00014566" w:rsidP="00B862DA" w:rsidRDefault="00014566">
      <w:pPr>
        <w:pStyle w:val="ECHRPara"/>
        <w:rPr>
          <w:lang w:val="en-GB"/>
        </w:rPr>
      </w:pPr>
      <w:r w:rsidRPr="00B862DA">
        <w:rPr>
          <w:lang w:val="en-GB"/>
        </w:rPr>
        <w:t>Delivers the following judgment, which was adopted on that date:</w:t>
      </w:r>
    </w:p>
    <w:p w:rsidRPr="00B862DA" w:rsidR="00014566" w:rsidP="00B862DA" w:rsidRDefault="00014566">
      <w:pPr>
        <w:pStyle w:val="ECHRTitle1"/>
        <w:rPr>
          <w:lang w:val="en-GB"/>
        </w:rPr>
      </w:pPr>
      <w:r w:rsidRPr="00B862DA">
        <w:rPr>
          <w:lang w:val="en-GB"/>
        </w:rPr>
        <w:t>PROCEDURE</w:t>
      </w:r>
      <w:r w:rsidRPr="00B862DA" w:rsidR="00B05B5F">
        <w:rPr>
          <w:lang w:val="en-GB"/>
        </w:rPr>
        <w:tab/>
      </w:r>
    </w:p>
    <w:p w:rsidRPr="00B862DA" w:rsidR="00723D72"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w:t>
      </w:r>
      <w:r w:rsidRPr="00B862DA">
        <w:rPr>
          <w:lang w:val="en-GB"/>
        </w:rPr>
        <w:fldChar w:fldCharType="end"/>
      </w:r>
      <w:r w:rsidRPr="00B862DA" w:rsidR="00014566">
        <w:rPr>
          <w:lang w:val="en-GB"/>
        </w:rPr>
        <w:t xml:space="preserve">.  The case originated in </w:t>
      </w:r>
      <w:r w:rsidRPr="00B862DA">
        <w:rPr>
          <w:lang w:val="en-GB"/>
        </w:rPr>
        <w:t>an application (no. 11800/10)</w:t>
      </w:r>
      <w:r w:rsidRPr="00B862DA" w:rsidR="00014566">
        <w:rPr>
          <w:lang w:val="en-GB"/>
        </w:rPr>
        <w:t xml:space="preserve"> against </w:t>
      </w:r>
      <w:r w:rsidRPr="00B862DA">
        <w:rPr>
          <w:lang w:val="en-GB"/>
        </w:rPr>
        <w:t>the Russian Federation</w:t>
      </w:r>
      <w:r w:rsidRPr="00B862DA" w:rsidR="00014566">
        <w:rPr>
          <w:lang w:val="en-GB"/>
        </w:rPr>
        <w:t xml:space="preserve"> lodged with the </w:t>
      </w:r>
      <w:r w:rsidRPr="00B862DA">
        <w:rPr>
          <w:lang w:val="en-GB"/>
        </w:rPr>
        <w:t>Court under Article 34</w:t>
      </w:r>
      <w:r w:rsidRPr="00B862DA" w:rsidR="00014566">
        <w:rPr>
          <w:lang w:val="en-GB"/>
        </w:rPr>
        <w:t xml:space="preserve"> of the Convention for the Protection of Human Rights and Fundamental Freedoms (“the Convention”) by</w:t>
      </w:r>
      <w:r w:rsidRPr="00B862DA" w:rsidR="00F41178">
        <w:rPr>
          <w:lang w:val="en-GB"/>
        </w:rPr>
        <w:t xml:space="preserve"> a Russian national, Mr. Andrey Aleksandrovich Pakhtusov (“the </w:t>
      </w:r>
      <w:r w:rsidRPr="00B862DA" w:rsidR="009358CA">
        <w:rPr>
          <w:lang w:val="en-GB"/>
        </w:rPr>
        <w:t>applicant</w:t>
      </w:r>
      <w:r w:rsidRPr="00B862DA" w:rsidR="00F41178">
        <w:rPr>
          <w:lang w:val="en-GB"/>
        </w:rPr>
        <w:t>”), on 17 January 2010.</w:t>
      </w:r>
    </w:p>
    <w:p w:rsidRPr="00B862DA" w:rsidR="0002439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w:t>
      </w:r>
      <w:r w:rsidRPr="00B862DA">
        <w:rPr>
          <w:lang w:val="en-GB"/>
        </w:rPr>
        <w:fldChar w:fldCharType="end"/>
      </w:r>
      <w:r w:rsidRPr="00B862DA" w:rsidR="00014566">
        <w:rPr>
          <w:lang w:val="en-GB"/>
        </w:rPr>
        <w:t>.  The</w:t>
      </w:r>
      <w:r w:rsidRPr="00B862DA" w:rsidR="009358CA">
        <w:rPr>
          <w:lang w:val="en-GB"/>
        </w:rPr>
        <w:t xml:space="preserve"> applicant was represented by Mr E. Mezak, a human rights activist practising in Syktyvkar. </w:t>
      </w:r>
      <w:r w:rsidRPr="00B862DA" w:rsidR="00024396">
        <w:rPr>
          <w:lang w:val="en-GB"/>
        </w:rPr>
        <w:t>The Russian Government (“the Government”) were represented by Mr G. Matyushkin, Representative of the Russian Federation t</w:t>
      </w:r>
      <w:r w:rsidRPr="00B862DA" w:rsidR="00F01871">
        <w:rPr>
          <w:lang w:val="en-GB"/>
        </w:rPr>
        <w:t>o</w:t>
      </w:r>
      <w:r w:rsidRPr="00B862DA" w:rsidR="00024396">
        <w:rPr>
          <w:lang w:val="en-GB"/>
        </w:rPr>
        <w:t xml:space="preserve"> the European Court of Human Rights.</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w:t>
      </w:r>
      <w:r w:rsidRPr="00B862DA">
        <w:rPr>
          <w:lang w:val="en-GB"/>
        </w:rPr>
        <w:fldChar w:fldCharType="end"/>
      </w:r>
      <w:r w:rsidRPr="00B862DA">
        <w:rPr>
          <w:lang w:val="en-GB"/>
        </w:rPr>
        <w:t xml:space="preserve">.  The applicant </w:t>
      </w:r>
      <w:r w:rsidRPr="00B862DA" w:rsidR="00024396">
        <w:rPr>
          <w:lang w:val="en-GB"/>
        </w:rPr>
        <w:t xml:space="preserve">complained </w:t>
      </w:r>
      <w:r w:rsidRPr="00B862DA" w:rsidR="00BB0617">
        <w:rPr>
          <w:lang w:val="en-GB"/>
        </w:rPr>
        <w:t>about</w:t>
      </w:r>
      <w:r w:rsidRPr="00B862DA" w:rsidR="00024396">
        <w:rPr>
          <w:lang w:val="en-GB"/>
        </w:rPr>
        <w:t xml:space="preserve"> </w:t>
      </w:r>
      <w:r w:rsidRPr="00B862DA" w:rsidR="002217DB">
        <w:rPr>
          <w:lang w:val="en-GB"/>
        </w:rPr>
        <w:t xml:space="preserve">the </w:t>
      </w:r>
      <w:r w:rsidRPr="00B862DA" w:rsidR="00024396">
        <w:rPr>
          <w:lang w:val="en-GB"/>
        </w:rPr>
        <w:t>ban</w:t>
      </w:r>
      <w:r w:rsidRPr="00B862DA" w:rsidR="002217DB">
        <w:rPr>
          <w:lang w:val="en-GB"/>
        </w:rPr>
        <w:t xml:space="preserve"> on family visits</w:t>
      </w:r>
      <w:r w:rsidRPr="00B862DA" w:rsidR="00024396">
        <w:rPr>
          <w:lang w:val="en-GB"/>
        </w:rPr>
        <w:t xml:space="preserve"> </w:t>
      </w:r>
      <w:r w:rsidRPr="00B862DA" w:rsidR="002217DB">
        <w:rPr>
          <w:lang w:val="en-GB"/>
        </w:rPr>
        <w:t xml:space="preserve">established by Russian law </w:t>
      </w:r>
      <w:r w:rsidRPr="00B862DA" w:rsidR="00F01871">
        <w:rPr>
          <w:lang w:val="en-GB"/>
        </w:rPr>
        <w:t>in respect o</w:t>
      </w:r>
      <w:r w:rsidRPr="00B862DA" w:rsidR="00024396">
        <w:rPr>
          <w:lang w:val="en-GB"/>
        </w:rPr>
        <w:t xml:space="preserve">f administrative </w:t>
      </w:r>
      <w:r w:rsidRPr="00B862DA" w:rsidR="0017480B">
        <w:rPr>
          <w:lang w:val="en-GB"/>
        </w:rPr>
        <w:t>detain</w:t>
      </w:r>
      <w:r w:rsidRPr="00B862DA" w:rsidR="00024396">
        <w:rPr>
          <w:lang w:val="en-GB"/>
        </w:rPr>
        <w:t>ees</w:t>
      </w:r>
      <w:r w:rsidRPr="00B862DA" w:rsidR="002217DB">
        <w:rPr>
          <w:lang w:val="en-GB"/>
        </w:rPr>
        <w:t>.</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w:t>
      </w:r>
      <w:r w:rsidRPr="00B862DA">
        <w:rPr>
          <w:lang w:val="en-GB"/>
        </w:rPr>
        <w:fldChar w:fldCharType="end"/>
      </w:r>
      <w:r w:rsidRPr="00B862DA" w:rsidR="00014566">
        <w:rPr>
          <w:lang w:val="en-GB"/>
        </w:rPr>
        <w:t>.  </w:t>
      </w:r>
      <w:r w:rsidRPr="00B862DA">
        <w:rPr>
          <w:lang w:val="en-GB"/>
        </w:rPr>
        <w:t xml:space="preserve">On </w:t>
      </w:r>
      <w:r w:rsidRPr="00B862DA">
        <w:rPr>
          <w:szCs w:val="24"/>
          <w:lang w:val="en-GB"/>
        </w:rPr>
        <w:t>17 June 2010</w:t>
      </w:r>
      <w:r w:rsidRPr="00B862DA" w:rsidR="00014566">
        <w:rPr>
          <w:lang w:val="en-GB"/>
        </w:rPr>
        <w:t xml:space="preserve"> the </w:t>
      </w:r>
      <w:r w:rsidRPr="00B862DA">
        <w:rPr>
          <w:lang w:val="en-GB"/>
        </w:rPr>
        <w:t>application was communicated to the Government</w:t>
      </w:r>
      <w:r w:rsidRPr="00B862DA" w:rsidR="00014566">
        <w:rPr>
          <w:lang w:val="en-GB"/>
        </w:rPr>
        <w:t>.</w:t>
      </w:r>
      <w:r w:rsidRPr="00B862DA" w:rsidR="00024396">
        <w:rPr>
          <w:lang w:val="en-GB"/>
        </w:rPr>
        <w:t xml:space="preserve"> The parties submitted written observations on the admissibility and merits.</w:t>
      </w:r>
    </w:p>
    <w:p w:rsidRPr="00B862DA" w:rsidR="00014566" w:rsidP="00B862DA" w:rsidRDefault="00014566">
      <w:pPr>
        <w:pStyle w:val="ECHRTitle1"/>
        <w:rPr>
          <w:lang w:val="en-GB"/>
        </w:rPr>
      </w:pPr>
      <w:r w:rsidRPr="00B862DA">
        <w:rPr>
          <w:lang w:val="en-GB"/>
        </w:rPr>
        <w:t>THE FACTS</w:t>
      </w:r>
    </w:p>
    <w:p w:rsidRPr="00B862DA" w:rsidR="00014566" w:rsidP="00B862DA" w:rsidRDefault="00014566">
      <w:pPr>
        <w:pStyle w:val="ECHRHeading1"/>
        <w:rPr>
          <w:lang w:val="en-GB"/>
        </w:rPr>
      </w:pPr>
      <w:r w:rsidRPr="00B862DA">
        <w:rPr>
          <w:lang w:val="en-GB"/>
        </w:rPr>
        <w:t>I.  THE CIRCUMSTANCES OF THE CASE</w:t>
      </w:r>
    </w:p>
    <w:p w:rsidRPr="00B862DA" w:rsidR="00F41178" w:rsidP="00B862DA" w:rsidRDefault="00024396">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5</w:t>
      </w:r>
      <w:r w:rsidRPr="00B862DA">
        <w:rPr>
          <w:lang w:val="en-GB"/>
        </w:rPr>
        <w:fldChar w:fldCharType="end"/>
      </w:r>
      <w:r w:rsidRPr="00B862DA">
        <w:rPr>
          <w:lang w:val="en-GB"/>
        </w:rPr>
        <w:t>.  </w:t>
      </w:r>
      <w:r w:rsidRPr="00B862DA" w:rsidR="00F41178">
        <w:rPr>
          <w:lang w:val="en-GB"/>
        </w:rPr>
        <w:t>The applicant is a taxi driver.</w:t>
      </w:r>
    </w:p>
    <w:p w:rsidRPr="00B862DA" w:rsidR="00F41178" w:rsidP="00B862DA" w:rsidRDefault="00024396">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6</w:t>
      </w:r>
      <w:r w:rsidRPr="00B862DA">
        <w:rPr>
          <w:lang w:val="en-GB"/>
        </w:rPr>
        <w:fldChar w:fldCharType="end"/>
      </w:r>
      <w:r w:rsidRPr="00B862DA">
        <w:rPr>
          <w:lang w:val="en-GB"/>
        </w:rPr>
        <w:t>.  </w:t>
      </w:r>
      <w:r w:rsidRPr="00B862DA" w:rsidR="0078745B">
        <w:rPr>
          <w:lang w:val="en-GB"/>
        </w:rPr>
        <w:t>O</w:t>
      </w:r>
      <w:r w:rsidRPr="00B862DA" w:rsidR="00F41178">
        <w:rPr>
          <w:lang w:val="en-GB"/>
        </w:rPr>
        <w:t>n the night of 25 July 2009 traffic police stopped the applicant</w:t>
      </w:r>
      <w:r w:rsidRPr="00B862DA" w:rsidR="00B862DA">
        <w:rPr>
          <w:lang w:val="en-GB"/>
        </w:rPr>
        <w:t>’</w:t>
      </w:r>
      <w:r w:rsidRPr="00B862DA" w:rsidR="00F41178">
        <w:rPr>
          <w:lang w:val="en-GB"/>
        </w:rPr>
        <w:t>s car. Following the applicant</w:t>
      </w:r>
      <w:r w:rsidRPr="00B862DA" w:rsidR="00B862DA">
        <w:rPr>
          <w:lang w:val="en-GB"/>
        </w:rPr>
        <w:t>’</w:t>
      </w:r>
      <w:r w:rsidRPr="00B862DA" w:rsidR="00F41178">
        <w:rPr>
          <w:lang w:val="en-GB"/>
        </w:rPr>
        <w:t xml:space="preserve">s failure to produce </w:t>
      </w:r>
      <w:r w:rsidRPr="00B862DA" w:rsidR="00FD1414">
        <w:rPr>
          <w:lang w:val="en-GB"/>
        </w:rPr>
        <w:t xml:space="preserve">his </w:t>
      </w:r>
      <w:r w:rsidRPr="00B862DA" w:rsidR="00F41178">
        <w:rPr>
          <w:lang w:val="en-GB"/>
        </w:rPr>
        <w:t>driving licence and suspect</w:t>
      </w:r>
      <w:r w:rsidRPr="00B862DA" w:rsidR="0017480B">
        <w:rPr>
          <w:lang w:val="en-GB"/>
        </w:rPr>
        <w:t>ing</w:t>
      </w:r>
      <w:r w:rsidRPr="00B862DA" w:rsidR="00F41178">
        <w:rPr>
          <w:lang w:val="en-GB"/>
        </w:rPr>
        <w:t xml:space="preserve"> that </w:t>
      </w:r>
      <w:r w:rsidRPr="00B862DA" w:rsidR="00FD1414">
        <w:rPr>
          <w:lang w:val="en-GB"/>
        </w:rPr>
        <w:t>it</w:t>
      </w:r>
      <w:r w:rsidRPr="00B862DA" w:rsidR="00F41178">
        <w:rPr>
          <w:lang w:val="en-GB"/>
        </w:rPr>
        <w:t xml:space="preserve"> had been withdrawn, police officers took </w:t>
      </w:r>
      <w:r w:rsidRPr="00B862DA" w:rsidR="006969C2">
        <w:rPr>
          <w:lang w:val="en-GB"/>
        </w:rPr>
        <w:t>him</w:t>
      </w:r>
      <w:r w:rsidRPr="00B862DA" w:rsidR="00F41178">
        <w:rPr>
          <w:lang w:val="en-GB"/>
        </w:rPr>
        <w:t xml:space="preserve"> to the duty unit of the Ezhvinskiy District police station</w:t>
      </w:r>
      <w:r w:rsidRPr="00B862DA" w:rsidR="0017480B">
        <w:rPr>
          <w:lang w:val="en-GB"/>
        </w:rPr>
        <w:t>,</w:t>
      </w:r>
      <w:r w:rsidRPr="00B862DA" w:rsidR="00F41178">
        <w:rPr>
          <w:lang w:val="en-GB"/>
        </w:rPr>
        <w:t xml:space="preserve"> where he was kept in a cell for administrative </w:t>
      </w:r>
      <w:r w:rsidRPr="00B862DA" w:rsidR="0017480B">
        <w:rPr>
          <w:lang w:val="en-GB"/>
        </w:rPr>
        <w:t>detain</w:t>
      </w:r>
      <w:r w:rsidRPr="00B862DA" w:rsidR="00F41178">
        <w:rPr>
          <w:lang w:val="en-GB"/>
        </w:rPr>
        <w:t>ees until the following morning. A record of the applicant</w:t>
      </w:r>
      <w:r w:rsidRPr="00B862DA" w:rsidR="00B862DA">
        <w:rPr>
          <w:lang w:val="en-GB"/>
        </w:rPr>
        <w:t>’</w:t>
      </w:r>
      <w:r w:rsidRPr="00B862DA" w:rsidR="00F41178">
        <w:rPr>
          <w:lang w:val="en-GB"/>
        </w:rPr>
        <w:t>s administrative arrest was drawn up.</w:t>
      </w:r>
    </w:p>
    <w:p w:rsidRPr="00B862DA" w:rsidR="00F41178" w:rsidP="00B862DA" w:rsidRDefault="0060656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7</w:t>
      </w:r>
      <w:r w:rsidRPr="00B862DA">
        <w:rPr>
          <w:lang w:val="en-GB"/>
        </w:rPr>
        <w:fldChar w:fldCharType="end"/>
      </w:r>
      <w:r w:rsidRPr="00B862DA">
        <w:rPr>
          <w:lang w:val="en-GB"/>
        </w:rPr>
        <w:t>.  </w:t>
      </w:r>
      <w:r w:rsidRPr="00B862DA" w:rsidR="00F41178">
        <w:rPr>
          <w:lang w:val="en-GB"/>
        </w:rPr>
        <w:t>On 26 July 2009 the Justice of the Peace of the Vezhdinskiy Court Circuit of the Ezhvinskiy District found the applicant guilty of driv</w:t>
      </w:r>
      <w:r w:rsidRPr="00B862DA" w:rsidR="0017480B">
        <w:rPr>
          <w:lang w:val="en-GB"/>
        </w:rPr>
        <w:t>i</w:t>
      </w:r>
      <w:r w:rsidRPr="00B862DA" w:rsidR="00F41178">
        <w:rPr>
          <w:lang w:val="en-GB"/>
        </w:rPr>
        <w:t>n</w:t>
      </w:r>
      <w:r w:rsidRPr="00B862DA" w:rsidR="0017480B">
        <w:rPr>
          <w:lang w:val="en-GB"/>
        </w:rPr>
        <w:t>g</w:t>
      </w:r>
      <w:r w:rsidRPr="00B862DA" w:rsidR="00F41178">
        <w:rPr>
          <w:lang w:val="en-GB"/>
        </w:rPr>
        <w:t xml:space="preserve"> a vehicle after </w:t>
      </w:r>
      <w:r w:rsidRPr="00B862DA" w:rsidR="0078745B">
        <w:rPr>
          <w:lang w:val="en-GB"/>
        </w:rPr>
        <w:t xml:space="preserve">the </w:t>
      </w:r>
      <w:r w:rsidRPr="00B862DA" w:rsidR="0017480B">
        <w:rPr>
          <w:lang w:val="en-GB"/>
        </w:rPr>
        <w:t xml:space="preserve">withdrawal of </w:t>
      </w:r>
      <w:r w:rsidRPr="00B862DA" w:rsidR="00F41178">
        <w:rPr>
          <w:lang w:val="en-GB"/>
        </w:rPr>
        <w:t xml:space="preserve">his driving licence (an administrative offence under Article 12.7 § 2 of the Russian Code of Administrative Offences) and sentenced him to fifteen days of administrative </w:t>
      </w:r>
      <w:r w:rsidRPr="00B862DA" w:rsidR="0017480B">
        <w:rPr>
          <w:lang w:val="en-GB"/>
        </w:rPr>
        <w:t>detention</w:t>
      </w:r>
      <w:r w:rsidRPr="00B862DA" w:rsidR="00F41178">
        <w:rPr>
          <w:lang w:val="en-GB"/>
        </w:rPr>
        <w:t>.</w:t>
      </w:r>
    </w:p>
    <w:p w:rsidRPr="00B862DA" w:rsidR="00F41178" w:rsidP="00B862DA" w:rsidRDefault="0060656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8</w:t>
      </w:r>
      <w:r w:rsidRPr="00B862DA">
        <w:rPr>
          <w:lang w:val="en-GB"/>
        </w:rPr>
        <w:fldChar w:fldCharType="end"/>
      </w:r>
      <w:r w:rsidRPr="00B862DA">
        <w:rPr>
          <w:lang w:val="en-GB"/>
        </w:rPr>
        <w:t>.  </w:t>
      </w:r>
      <w:r w:rsidRPr="00B862DA" w:rsidR="00F41178">
        <w:rPr>
          <w:lang w:val="en-GB"/>
        </w:rPr>
        <w:t xml:space="preserve">On 31 July 2009 the applicant made a written request to the head of the detention unit seeking a family visit. </w:t>
      </w:r>
      <w:r w:rsidRPr="00B862DA" w:rsidR="0017480B">
        <w:rPr>
          <w:lang w:val="en-GB"/>
        </w:rPr>
        <w:t>T</w:t>
      </w:r>
      <w:r w:rsidRPr="00B862DA" w:rsidR="008C55C2">
        <w:rPr>
          <w:lang w:val="en-GB"/>
        </w:rPr>
        <w:t>he next day the request was returned to the applicant bearing</w:t>
      </w:r>
      <w:r w:rsidRPr="00B862DA" w:rsidR="00F41178">
        <w:rPr>
          <w:lang w:val="en-GB"/>
        </w:rPr>
        <w:t xml:space="preserve"> a handwritten note by the acting head of the detention unit, Mr S., </w:t>
      </w:r>
      <w:r w:rsidRPr="00B862DA" w:rsidR="008C55C2">
        <w:rPr>
          <w:lang w:val="en-GB"/>
        </w:rPr>
        <w:t>which stated</w:t>
      </w:r>
      <w:r w:rsidRPr="00B862DA" w:rsidR="00F41178">
        <w:rPr>
          <w:lang w:val="en-GB"/>
        </w:rPr>
        <w:t xml:space="preserve"> that family visits were not “provided for [by law]”.</w:t>
      </w:r>
    </w:p>
    <w:p w:rsidRPr="00B862DA" w:rsidR="001D50C3" w:rsidP="00B862DA" w:rsidRDefault="0060656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9</w:t>
      </w:r>
      <w:r w:rsidRPr="00B862DA">
        <w:rPr>
          <w:lang w:val="en-GB"/>
        </w:rPr>
        <w:fldChar w:fldCharType="end"/>
      </w:r>
      <w:r w:rsidRPr="00B862DA">
        <w:rPr>
          <w:lang w:val="en-GB"/>
        </w:rPr>
        <w:t>.  </w:t>
      </w:r>
      <w:r w:rsidRPr="00B862DA" w:rsidR="00F41178">
        <w:rPr>
          <w:lang w:val="en-GB"/>
        </w:rPr>
        <w:t xml:space="preserve">On 14 August 2009 </w:t>
      </w:r>
      <w:r w:rsidRPr="00B862DA" w:rsidR="001D50C3">
        <w:rPr>
          <w:lang w:val="en-GB"/>
        </w:rPr>
        <w:t>the applicant</w:t>
      </w:r>
      <w:r w:rsidRPr="00B862DA" w:rsidR="00B862DA">
        <w:rPr>
          <w:lang w:val="en-GB"/>
        </w:rPr>
        <w:t>’</w:t>
      </w:r>
      <w:r w:rsidRPr="00B862DA" w:rsidR="001D50C3">
        <w:rPr>
          <w:lang w:val="en-GB"/>
        </w:rPr>
        <w:t>s representative</w:t>
      </w:r>
      <w:r w:rsidRPr="00B862DA" w:rsidR="00F41178">
        <w:rPr>
          <w:lang w:val="en-GB"/>
        </w:rPr>
        <w:t xml:space="preserve"> lodged a complaint with the Syktyvkar Town Court, alleging that the applicant</w:t>
      </w:r>
      <w:r w:rsidRPr="00B862DA" w:rsidR="00B862DA">
        <w:rPr>
          <w:lang w:val="en-GB"/>
        </w:rPr>
        <w:t>’</w:t>
      </w:r>
      <w:r w:rsidRPr="00B862DA" w:rsidR="00F41178">
        <w:rPr>
          <w:lang w:val="en-GB"/>
        </w:rPr>
        <w:t>s right to family life guaranteed by Article 8 of the Convention had been unlawfully restricted</w:t>
      </w:r>
      <w:r w:rsidRPr="00B862DA" w:rsidR="001D50C3">
        <w:rPr>
          <w:lang w:val="en-GB"/>
        </w:rPr>
        <w:t>.</w:t>
      </w:r>
    </w:p>
    <w:p w:rsidRPr="00B862DA" w:rsidR="00AC7A4A" w:rsidP="00B862DA" w:rsidRDefault="001D50C3">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10</w:t>
      </w:r>
      <w:r w:rsidRPr="00B862DA">
        <w:rPr>
          <w:lang w:val="en-GB"/>
        </w:rPr>
        <w:fldChar w:fldCharType="end"/>
      </w:r>
      <w:r w:rsidRPr="00B862DA">
        <w:rPr>
          <w:lang w:val="en-GB"/>
        </w:rPr>
        <w:t>.  </w:t>
      </w:r>
      <w:r w:rsidRPr="00B862DA" w:rsidR="00F41178">
        <w:rPr>
          <w:lang w:val="en-GB"/>
        </w:rPr>
        <w:t xml:space="preserve">The police officials filed a written objection, arguing that the Internal Rules </w:t>
      </w:r>
      <w:r w:rsidRPr="00B862DA" w:rsidR="0017480B">
        <w:rPr>
          <w:lang w:val="en-GB"/>
        </w:rPr>
        <w:t xml:space="preserve">governing </w:t>
      </w:r>
      <w:r w:rsidRPr="00B862DA" w:rsidR="00F41178">
        <w:rPr>
          <w:lang w:val="en-GB"/>
        </w:rPr>
        <w:t xml:space="preserve">Detention Facilities for Administrative </w:t>
      </w:r>
      <w:r w:rsidRPr="00B862DA" w:rsidR="0017480B">
        <w:rPr>
          <w:lang w:val="en-GB"/>
        </w:rPr>
        <w:t>Detain</w:t>
      </w:r>
      <w:r w:rsidRPr="00B862DA" w:rsidR="00F41178">
        <w:rPr>
          <w:lang w:val="en-GB"/>
        </w:rPr>
        <w:t xml:space="preserve">ees did not provide administrative </w:t>
      </w:r>
      <w:r w:rsidRPr="00B862DA" w:rsidR="0017480B">
        <w:rPr>
          <w:lang w:val="en-GB"/>
        </w:rPr>
        <w:t>detain</w:t>
      </w:r>
      <w:r w:rsidRPr="00B862DA" w:rsidR="00F41178">
        <w:rPr>
          <w:lang w:val="en-GB"/>
        </w:rPr>
        <w:t xml:space="preserve">ees with </w:t>
      </w:r>
      <w:r w:rsidRPr="00B862DA" w:rsidR="0017480B">
        <w:rPr>
          <w:lang w:val="en-GB"/>
        </w:rPr>
        <w:t>the</w:t>
      </w:r>
      <w:r w:rsidRPr="00B862DA" w:rsidR="00F41178">
        <w:rPr>
          <w:lang w:val="en-GB"/>
        </w:rPr>
        <w:t xml:space="preserve"> right to have a family visit.</w:t>
      </w:r>
    </w:p>
    <w:p w:rsidRPr="00B862DA" w:rsidR="00F41178" w:rsidP="00B862DA" w:rsidRDefault="001D50C3">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11</w:t>
      </w:r>
      <w:r w:rsidRPr="00B862DA">
        <w:rPr>
          <w:lang w:val="en-GB"/>
        </w:rPr>
        <w:fldChar w:fldCharType="end"/>
      </w:r>
      <w:r w:rsidRPr="00B862DA">
        <w:rPr>
          <w:lang w:val="en-GB"/>
        </w:rPr>
        <w:t>.  </w:t>
      </w:r>
      <w:r w:rsidRPr="00B862DA" w:rsidR="00F41178">
        <w:rPr>
          <w:lang w:val="en-GB"/>
        </w:rPr>
        <w:t xml:space="preserve">On 15 September 2009 the Syktyvkar </w:t>
      </w:r>
      <w:r w:rsidRPr="00B862DA">
        <w:rPr>
          <w:lang w:val="en-GB"/>
        </w:rPr>
        <w:t>City</w:t>
      </w:r>
      <w:r w:rsidRPr="00B862DA" w:rsidR="00F41178">
        <w:rPr>
          <w:lang w:val="en-GB"/>
        </w:rPr>
        <w:t xml:space="preserve"> Court dismissed the applicant</w:t>
      </w:r>
      <w:r w:rsidRPr="00B862DA" w:rsidR="00B862DA">
        <w:rPr>
          <w:lang w:val="en-GB"/>
        </w:rPr>
        <w:t>’</w:t>
      </w:r>
      <w:r w:rsidRPr="00B862DA" w:rsidR="00F41178">
        <w:rPr>
          <w:lang w:val="en-GB"/>
        </w:rPr>
        <w:t>s complaint, having accepted the police authorities</w:t>
      </w:r>
      <w:r w:rsidRPr="00B862DA" w:rsidR="00B862DA">
        <w:rPr>
          <w:lang w:val="en-GB"/>
        </w:rPr>
        <w:t>’</w:t>
      </w:r>
      <w:r w:rsidRPr="00B862DA" w:rsidR="006969C2">
        <w:rPr>
          <w:lang w:val="en-GB"/>
        </w:rPr>
        <w:t xml:space="preserve"> </w:t>
      </w:r>
      <w:r w:rsidRPr="00B862DA" w:rsidR="00F41178">
        <w:rPr>
          <w:lang w:val="en-GB"/>
        </w:rPr>
        <w:t xml:space="preserve">argument that administrative </w:t>
      </w:r>
      <w:r w:rsidRPr="00B862DA" w:rsidR="0017480B">
        <w:rPr>
          <w:lang w:val="en-GB"/>
        </w:rPr>
        <w:t>detain</w:t>
      </w:r>
      <w:r w:rsidRPr="00B862DA" w:rsidR="00F41178">
        <w:rPr>
          <w:lang w:val="en-GB"/>
        </w:rPr>
        <w:t xml:space="preserve">ees were not entitled to a family visit under the domestic law in force and that the applicant had been subjected to those limitations of his rights as a negative consequence of </w:t>
      </w:r>
      <w:r w:rsidRPr="00B862DA" w:rsidR="006969C2">
        <w:rPr>
          <w:lang w:val="en-GB"/>
        </w:rPr>
        <w:t xml:space="preserve">the </w:t>
      </w:r>
      <w:r w:rsidRPr="00B862DA" w:rsidR="00F41178">
        <w:rPr>
          <w:lang w:val="en-GB"/>
        </w:rPr>
        <w:t xml:space="preserve">administrative </w:t>
      </w:r>
      <w:r w:rsidRPr="00B862DA" w:rsidR="00767752">
        <w:rPr>
          <w:lang w:val="en-GB"/>
        </w:rPr>
        <w:t>detention</w:t>
      </w:r>
      <w:r w:rsidRPr="00B862DA" w:rsidR="008C55C2">
        <w:rPr>
          <w:lang w:val="en-GB"/>
        </w:rPr>
        <w:t>.</w:t>
      </w:r>
    </w:p>
    <w:p w:rsidRPr="00B862DA" w:rsidR="00F41178" w:rsidP="00B862DA" w:rsidRDefault="00930C1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12</w:t>
      </w:r>
      <w:r w:rsidRPr="00B862DA">
        <w:rPr>
          <w:lang w:val="en-GB"/>
        </w:rPr>
        <w:fldChar w:fldCharType="end"/>
      </w:r>
      <w:r w:rsidRPr="00B862DA">
        <w:rPr>
          <w:lang w:val="en-GB"/>
        </w:rPr>
        <w:t>.  </w:t>
      </w:r>
      <w:r w:rsidRPr="00B862DA" w:rsidR="00F41178">
        <w:rPr>
          <w:lang w:val="en-GB"/>
        </w:rPr>
        <w:t>The applicant</w:t>
      </w:r>
      <w:r w:rsidRPr="00B862DA" w:rsidR="00B862DA">
        <w:rPr>
          <w:lang w:val="en-GB"/>
        </w:rPr>
        <w:t>’</w:t>
      </w:r>
      <w:r w:rsidRPr="00B862DA" w:rsidR="00F41178">
        <w:rPr>
          <w:lang w:val="en-GB"/>
        </w:rPr>
        <w:t>s representative appealed. Relying on the Court</w:t>
      </w:r>
      <w:r w:rsidRPr="00B862DA" w:rsidR="00B862DA">
        <w:rPr>
          <w:lang w:val="en-GB"/>
        </w:rPr>
        <w:t>’</w:t>
      </w:r>
      <w:r w:rsidRPr="00B862DA" w:rsidR="00F41178">
        <w:rPr>
          <w:lang w:val="en-GB"/>
        </w:rPr>
        <w:t xml:space="preserve">s judgments in the cases of </w:t>
      </w:r>
      <w:r w:rsidRPr="00B862DA" w:rsidR="00F41178">
        <w:rPr>
          <w:i/>
          <w:lang w:val="en-GB"/>
        </w:rPr>
        <w:t>Messina v. Italy</w:t>
      </w:r>
      <w:r w:rsidRPr="00B862DA" w:rsidR="00F41178">
        <w:rPr>
          <w:lang w:val="en-GB"/>
        </w:rPr>
        <w:t xml:space="preserve"> </w:t>
      </w:r>
      <w:r w:rsidRPr="00B862DA" w:rsidR="00F41178">
        <w:rPr>
          <w:i/>
          <w:lang w:val="en-GB"/>
        </w:rPr>
        <w:t>(no. 2)</w:t>
      </w:r>
      <w:r w:rsidRPr="00B862DA" w:rsidR="002A7F2C">
        <w:rPr>
          <w:lang w:val="en-GB"/>
        </w:rPr>
        <w:t xml:space="preserve"> (no. 25498/94, § </w:t>
      </w:r>
      <w:r w:rsidRPr="00B862DA" w:rsidR="00F41178">
        <w:rPr>
          <w:lang w:val="en-GB"/>
        </w:rPr>
        <w:t>61, ECHR 2000</w:t>
      </w:r>
      <w:r w:rsidRPr="00B862DA" w:rsidR="00F41178">
        <w:rPr>
          <w:lang w:val="en-GB"/>
        </w:rPr>
        <w:noBreakHyphen/>
        <w:t xml:space="preserve">X) and </w:t>
      </w:r>
      <w:r w:rsidRPr="00B862DA" w:rsidR="00F41178">
        <w:rPr>
          <w:i/>
          <w:lang w:val="en-GB"/>
        </w:rPr>
        <w:t>Vlasov v. Russia</w:t>
      </w:r>
      <w:r w:rsidRPr="00B862DA" w:rsidR="00F41178">
        <w:rPr>
          <w:lang w:val="en-GB"/>
        </w:rPr>
        <w:t xml:space="preserve"> (no. 78146/01, § 123, 12 June 2008), he argued that the authorities</w:t>
      </w:r>
      <w:r w:rsidRPr="00B862DA" w:rsidR="00B862DA">
        <w:rPr>
          <w:lang w:val="en-GB"/>
        </w:rPr>
        <w:t>’</w:t>
      </w:r>
      <w:r w:rsidRPr="00B862DA" w:rsidR="00F41178">
        <w:rPr>
          <w:lang w:val="en-GB"/>
        </w:rPr>
        <w:t xml:space="preserve"> assistance in maintaining contact with close family was an essential part of a detainee</w:t>
      </w:r>
      <w:r w:rsidRPr="00B862DA" w:rsidR="00B862DA">
        <w:rPr>
          <w:lang w:val="en-GB"/>
        </w:rPr>
        <w:t>’</w:t>
      </w:r>
      <w:r w:rsidRPr="00B862DA" w:rsidR="00F41178">
        <w:rPr>
          <w:lang w:val="en-GB"/>
        </w:rPr>
        <w:t xml:space="preserve">s right to respect for family life. Limitations imposed on </w:t>
      </w:r>
      <w:r w:rsidRPr="00B862DA" w:rsidR="0017480B">
        <w:rPr>
          <w:lang w:val="en-GB"/>
        </w:rPr>
        <w:t>the</w:t>
      </w:r>
      <w:r w:rsidRPr="00B862DA" w:rsidR="00F41178">
        <w:rPr>
          <w:lang w:val="en-GB"/>
        </w:rPr>
        <w:t xml:space="preserve"> number of family visits constituted an interference with the applicant</w:t>
      </w:r>
      <w:r w:rsidRPr="00B862DA" w:rsidR="00B862DA">
        <w:rPr>
          <w:lang w:val="en-GB"/>
        </w:rPr>
        <w:t>’</w:t>
      </w:r>
      <w:r w:rsidRPr="00B862DA" w:rsidR="00F41178">
        <w:rPr>
          <w:lang w:val="en-GB"/>
        </w:rPr>
        <w:t xml:space="preserve">s rights under </w:t>
      </w:r>
      <w:bookmarkStart w:name="01000017" w:id="2"/>
      <w:bookmarkEnd w:id="2"/>
      <w:r w:rsidRPr="00B862DA" w:rsidR="00F41178">
        <w:rPr>
          <w:lang w:val="en-GB"/>
        </w:rPr>
        <w:t xml:space="preserve">Article </w:t>
      </w:r>
      <w:bookmarkStart w:name="01000018" w:id="3"/>
      <w:bookmarkEnd w:id="3"/>
      <w:r w:rsidRPr="00B862DA" w:rsidR="00F41178">
        <w:rPr>
          <w:lang w:val="en-GB"/>
        </w:rPr>
        <w:t>8 of the Convention. Restrictions of that kind could only be applied “in accordance with the law”, should pursue one or more legitimate aims and, in addition, should be</w:t>
      </w:r>
      <w:r w:rsidRPr="00B862DA" w:rsidR="0017480B">
        <w:rPr>
          <w:lang w:val="en-GB"/>
        </w:rPr>
        <w:t xml:space="preserve"> </w:t>
      </w:r>
      <w:r w:rsidRPr="00B862DA" w:rsidR="00F41178">
        <w:rPr>
          <w:lang w:val="en-GB"/>
        </w:rPr>
        <w:t>justified as being “necessary in a democratic society”. The representative submitted that there was no norm in Russian law imposing restrictions on family visits for administrative detainees.</w:t>
      </w:r>
    </w:p>
    <w:p w:rsidRPr="00B862DA" w:rsidR="00F41178" w:rsidP="00B862DA" w:rsidRDefault="00930C1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13</w:t>
      </w:r>
      <w:r w:rsidRPr="00B862DA">
        <w:rPr>
          <w:lang w:val="en-GB"/>
        </w:rPr>
        <w:fldChar w:fldCharType="end"/>
      </w:r>
      <w:r w:rsidRPr="00B862DA">
        <w:rPr>
          <w:lang w:val="en-GB"/>
        </w:rPr>
        <w:t>.  </w:t>
      </w:r>
      <w:r w:rsidRPr="00B862DA" w:rsidR="00F41178">
        <w:rPr>
          <w:lang w:val="en-GB"/>
        </w:rPr>
        <w:t xml:space="preserve">On 22 October 2009 the Supreme Court of the Komi Republic upheld the </w:t>
      </w:r>
      <w:r w:rsidRPr="00B862DA" w:rsidR="008355AC">
        <w:rPr>
          <w:lang w:val="en-GB"/>
        </w:rPr>
        <w:t>City</w:t>
      </w:r>
      <w:r w:rsidRPr="00B862DA" w:rsidR="00F41178">
        <w:rPr>
          <w:lang w:val="en-GB"/>
        </w:rPr>
        <w:t xml:space="preserve"> Court</w:t>
      </w:r>
      <w:r w:rsidRPr="00B862DA" w:rsidR="00B862DA">
        <w:rPr>
          <w:lang w:val="en-GB"/>
        </w:rPr>
        <w:t>’</w:t>
      </w:r>
      <w:r w:rsidRPr="00B862DA" w:rsidR="00F41178">
        <w:rPr>
          <w:lang w:val="en-GB"/>
        </w:rPr>
        <w:t>s decision, having reasoned as follows:</w:t>
      </w:r>
    </w:p>
    <w:p w:rsidRPr="00B862DA" w:rsidR="00930C1B" w:rsidP="00B862DA" w:rsidRDefault="00F41178">
      <w:pPr>
        <w:pStyle w:val="ECHRParaQuote"/>
        <w:rPr>
          <w:lang w:val="en-GB"/>
        </w:rPr>
      </w:pPr>
      <w:r w:rsidRPr="00B862DA">
        <w:rPr>
          <w:lang w:val="en-GB"/>
        </w:rPr>
        <w:t>“</w:t>
      </w:r>
      <w:r w:rsidRPr="00B862DA" w:rsidR="00930C1B">
        <w:rPr>
          <w:lang w:val="en-GB"/>
        </w:rPr>
        <w:t xml:space="preserve">There is no </w:t>
      </w:r>
      <w:r w:rsidRPr="00B862DA" w:rsidR="00126D06">
        <w:rPr>
          <w:lang w:val="en-GB"/>
        </w:rPr>
        <w:t xml:space="preserve">prohibition on family visits for administrative </w:t>
      </w:r>
      <w:r w:rsidRPr="00B862DA" w:rsidR="0017480B">
        <w:rPr>
          <w:lang w:val="en-GB"/>
        </w:rPr>
        <w:t>detain</w:t>
      </w:r>
      <w:r w:rsidRPr="00B862DA" w:rsidR="00126D06">
        <w:rPr>
          <w:lang w:val="en-GB"/>
        </w:rPr>
        <w:t>ees.</w:t>
      </w:r>
    </w:p>
    <w:p w:rsidRPr="00B862DA" w:rsidR="00126D06" w:rsidP="00B862DA" w:rsidRDefault="00126D06">
      <w:pPr>
        <w:pStyle w:val="ECHRParaQuote"/>
        <w:rPr>
          <w:lang w:val="en-GB"/>
        </w:rPr>
      </w:pPr>
      <w:r w:rsidRPr="00B862DA">
        <w:rPr>
          <w:lang w:val="en-GB"/>
        </w:rPr>
        <w:t>...</w:t>
      </w:r>
    </w:p>
    <w:p w:rsidRPr="00B862DA" w:rsidR="00F41178" w:rsidP="00B862DA" w:rsidRDefault="0089497B">
      <w:pPr>
        <w:pStyle w:val="ECHRParaQuote"/>
        <w:rPr>
          <w:lang w:val="en-GB"/>
        </w:rPr>
      </w:pPr>
      <w:r w:rsidRPr="00B862DA">
        <w:rPr>
          <w:lang w:val="en-GB"/>
        </w:rPr>
        <w:t>[At the same time] a</w:t>
      </w:r>
      <w:r w:rsidRPr="00B862DA" w:rsidR="00F41178">
        <w:rPr>
          <w:lang w:val="en-GB"/>
        </w:rPr>
        <w:t xml:space="preserve"> refusal to authorise a family visit has a basis in Russian law; however, it should be warranted by circumstances and conditions providing </w:t>
      </w:r>
      <w:r w:rsidRPr="00B862DA" w:rsidR="0017480B">
        <w:rPr>
          <w:lang w:val="en-GB"/>
        </w:rPr>
        <w:t xml:space="preserve">the </w:t>
      </w:r>
      <w:r w:rsidRPr="00B862DA" w:rsidR="00F41178">
        <w:rPr>
          <w:lang w:val="en-GB"/>
        </w:rPr>
        <w:t xml:space="preserve">competent authorities with </w:t>
      </w:r>
      <w:r w:rsidRPr="00B862DA" w:rsidR="0017480B">
        <w:rPr>
          <w:lang w:val="en-GB"/>
        </w:rPr>
        <w:t>the</w:t>
      </w:r>
      <w:r w:rsidRPr="00B862DA" w:rsidR="00F41178">
        <w:rPr>
          <w:lang w:val="en-GB"/>
        </w:rPr>
        <w:t xml:space="preserve"> right to apply the disputed restriction. Provi</w:t>
      </w:r>
      <w:r w:rsidRPr="00B862DA" w:rsidR="0017480B">
        <w:rPr>
          <w:lang w:val="en-GB"/>
        </w:rPr>
        <w:t>d</w:t>
      </w:r>
      <w:r w:rsidRPr="00B862DA" w:rsidR="00F41178">
        <w:rPr>
          <w:lang w:val="en-GB"/>
        </w:rPr>
        <w:t>in</w:t>
      </w:r>
      <w:r w:rsidRPr="00B862DA" w:rsidR="0017480B">
        <w:rPr>
          <w:lang w:val="en-GB"/>
        </w:rPr>
        <w:t>g</w:t>
      </w:r>
      <w:r w:rsidRPr="00B862DA" w:rsidR="00F41178">
        <w:rPr>
          <w:lang w:val="en-GB"/>
        </w:rPr>
        <w:t xml:space="preserve"> law</w:t>
      </w:r>
      <w:r w:rsidRPr="00B862DA" w:rsidR="0017480B">
        <w:rPr>
          <w:lang w:val="en-GB"/>
        </w:rPr>
        <w:noBreakHyphen/>
      </w:r>
      <w:r w:rsidRPr="00B862DA" w:rsidR="00F41178">
        <w:rPr>
          <w:lang w:val="en-GB"/>
        </w:rPr>
        <w:t xml:space="preserve">enforcement bodies with unlimited powers in issues </w:t>
      </w:r>
      <w:r w:rsidRPr="00B862DA" w:rsidR="0017480B">
        <w:rPr>
          <w:lang w:val="en-GB"/>
        </w:rPr>
        <w:t>pertain</w:t>
      </w:r>
      <w:r w:rsidRPr="00B862DA" w:rsidR="00F41178">
        <w:rPr>
          <w:lang w:val="en-GB"/>
        </w:rPr>
        <w:t xml:space="preserve">ing </w:t>
      </w:r>
      <w:r w:rsidRPr="00B862DA" w:rsidR="0017480B">
        <w:rPr>
          <w:lang w:val="en-GB"/>
        </w:rPr>
        <w:t xml:space="preserve">to </w:t>
      </w:r>
      <w:r w:rsidRPr="00B862DA" w:rsidR="00F41178">
        <w:rPr>
          <w:lang w:val="en-GB"/>
        </w:rPr>
        <w:t xml:space="preserve">fundamental rights could run contrary to the superior role of the law and could </w:t>
      </w:r>
      <w:r w:rsidRPr="00B862DA" w:rsidR="0017480B">
        <w:rPr>
          <w:lang w:val="en-GB"/>
        </w:rPr>
        <w:t>result in</w:t>
      </w:r>
      <w:r w:rsidRPr="00B862DA" w:rsidR="00F41178">
        <w:rPr>
          <w:lang w:val="en-GB"/>
        </w:rPr>
        <w:t xml:space="preserve"> arbitrary interference with human rights.</w:t>
      </w:r>
    </w:p>
    <w:p w:rsidRPr="00B862DA" w:rsidR="00F41178" w:rsidP="00B862DA" w:rsidRDefault="008C55C2">
      <w:pPr>
        <w:pStyle w:val="ECHRParaQuote"/>
        <w:rPr>
          <w:lang w:val="en-GB"/>
        </w:rPr>
      </w:pPr>
      <w:r w:rsidRPr="00B862DA">
        <w:rPr>
          <w:lang w:val="en-GB"/>
        </w:rPr>
        <w:t>I</w:t>
      </w:r>
      <w:r w:rsidRPr="00B862DA" w:rsidR="00F41178">
        <w:rPr>
          <w:lang w:val="en-GB"/>
        </w:rPr>
        <w:t xml:space="preserve">n the case under examination, there are no grounds </w:t>
      </w:r>
      <w:r w:rsidRPr="00B862DA" w:rsidR="0017480B">
        <w:rPr>
          <w:lang w:val="en-GB"/>
        </w:rPr>
        <w:t>f</w:t>
      </w:r>
      <w:r w:rsidRPr="00B862DA" w:rsidR="00F41178">
        <w:rPr>
          <w:lang w:val="en-GB"/>
        </w:rPr>
        <w:t>o</w:t>
      </w:r>
      <w:r w:rsidRPr="00B862DA" w:rsidR="0017480B">
        <w:rPr>
          <w:lang w:val="en-GB"/>
        </w:rPr>
        <w:t>r</w:t>
      </w:r>
      <w:r w:rsidRPr="00B862DA" w:rsidR="00F41178">
        <w:rPr>
          <w:lang w:val="en-GB"/>
        </w:rPr>
        <w:t xml:space="preserve"> conclud</w:t>
      </w:r>
      <w:r w:rsidRPr="00B862DA" w:rsidR="0017480B">
        <w:rPr>
          <w:lang w:val="en-GB"/>
        </w:rPr>
        <w:t>ing</w:t>
      </w:r>
      <w:r w:rsidRPr="00B862DA" w:rsidR="00F41178">
        <w:rPr>
          <w:lang w:val="en-GB"/>
        </w:rPr>
        <w:t xml:space="preserve"> that the actions of the acting head [of the detention unit of the police station where the applicant had been detained] were unlawful </w:t>
      </w:r>
      <w:r w:rsidRPr="00B862DA" w:rsidR="0017480B">
        <w:rPr>
          <w:lang w:val="en-GB"/>
        </w:rPr>
        <w:t>bec</w:t>
      </w:r>
      <w:r w:rsidRPr="00B862DA" w:rsidR="00F41178">
        <w:rPr>
          <w:lang w:val="en-GB"/>
        </w:rPr>
        <w:t>a</w:t>
      </w:r>
      <w:r w:rsidRPr="00B862DA" w:rsidR="0017480B">
        <w:rPr>
          <w:lang w:val="en-GB"/>
        </w:rPr>
        <w:t>u</w:t>
      </w:r>
      <w:r w:rsidRPr="00B862DA" w:rsidR="00F41178">
        <w:rPr>
          <w:lang w:val="en-GB"/>
        </w:rPr>
        <w:t>s</w:t>
      </w:r>
      <w:r w:rsidRPr="00B862DA" w:rsidR="0017480B">
        <w:rPr>
          <w:lang w:val="en-GB"/>
        </w:rPr>
        <w:t>e</w:t>
      </w:r>
      <w:r w:rsidRPr="00B862DA" w:rsidR="00F41178">
        <w:rPr>
          <w:lang w:val="en-GB"/>
        </w:rPr>
        <w:t>, having applied for a family visit</w:t>
      </w:r>
      <w:r w:rsidRPr="00B862DA" w:rsidR="0017480B">
        <w:rPr>
          <w:lang w:val="en-GB"/>
        </w:rPr>
        <w:t>,</w:t>
      </w:r>
      <w:r w:rsidRPr="00B862DA" w:rsidR="00F41178">
        <w:rPr>
          <w:lang w:val="en-GB"/>
        </w:rPr>
        <w:t xml:space="preserve"> [the applicant] had not indicated whom he had wanted to see and what the relations</w:t>
      </w:r>
      <w:r w:rsidRPr="00B862DA" w:rsidR="0017480B">
        <w:rPr>
          <w:lang w:val="en-GB"/>
        </w:rPr>
        <w:t>hip</w:t>
      </w:r>
      <w:r w:rsidRPr="00B862DA" w:rsidR="00F41178">
        <w:rPr>
          <w:lang w:val="en-GB"/>
        </w:rPr>
        <w:t xml:space="preserve"> </w:t>
      </w:r>
      <w:r w:rsidRPr="00B862DA" w:rsidR="0017480B">
        <w:rPr>
          <w:lang w:val="en-GB"/>
        </w:rPr>
        <w:t xml:space="preserve">was </w:t>
      </w:r>
      <w:r w:rsidRPr="00B862DA" w:rsidR="00F41178">
        <w:rPr>
          <w:lang w:val="en-GB"/>
        </w:rPr>
        <w:t xml:space="preserve">between him and that person. </w:t>
      </w:r>
      <w:r w:rsidRPr="00B862DA" w:rsidR="0017480B">
        <w:rPr>
          <w:lang w:val="en-GB"/>
        </w:rPr>
        <w:t xml:space="preserve">If </w:t>
      </w:r>
      <w:r w:rsidRPr="00B862DA" w:rsidR="00F41178">
        <w:rPr>
          <w:lang w:val="en-GB"/>
        </w:rPr>
        <w:t xml:space="preserve">those important details are not provided, </w:t>
      </w:r>
      <w:r w:rsidRPr="00B862DA" w:rsidR="0017480B">
        <w:rPr>
          <w:lang w:val="en-GB"/>
        </w:rPr>
        <w:t>the</w:t>
      </w:r>
      <w:r w:rsidRPr="00B862DA" w:rsidR="00F41178">
        <w:rPr>
          <w:lang w:val="en-GB"/>
        </w:rPr>
        <w:t xml:space="preserve"> authorisation of a family visit cannot be considered lawful.”</w:t>
      </w:r>
    </w:p>
    <w:p w:rsidRPr="00B862DA" w:rsidR="00014566" w:rsidP="00B862DA" w:rsidRDefault="003428DC">
      <w:pPr>
        <w:pStyle w:val="ECHRHeading1"/>
        <w:rPr>
          <w:lang w:val="en-GB"/>
        </w:rPr>
      </w:pPr>
      <w:r w:rsidRPr="00B862DA">
        <w:rPr>
          <w:lang w:val="en-GB"/>
        </w:rPr>
        <w:t>II.  RELEVANT DOMESTIC LAW</w:t>
      </w:r>
    </w:p>
    <w:p w:rsidRPr="00B862DA" w:rsidR="00AC7A4A"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14</w:t>
      </w:r>
      <w:r w:rsidRPr="00B862DA">
        <w:rPr>
          <w:lang w:val="en-GB"/>
        </w:rPr>
        <w:fldChar w:fldCharType="end"/>
      </w:r>
      <w:r w:rsidRPr="00B862DA" w:rsidR="00014566">
        <w:rPr>
          <w:lang w:val="en-GB"/>
        </w:rPr>
        <w:t>.  </w:t>
      </w:r>
      <w:r w:rsidRPr="00B862DA" w:rsidR="00503465">
        <w:rPr>
          <w:lang w:val="en-GB"/>
        </w:rPr>
        <w:t>The r</w:t>
      </w:r>
      <w:r w:rsidRPr="00B862DA" w:rsidR="009F3440">
        <w:rPr>
          <w:lang w:val="en-GB"/>
        </w:rPr>
        <w:t>elevant provisions of the Russian Code of Administrative Offences (no. 195-FZ of 30 December 2001</w:t>
      </w:r>
      <w:r w:rsidRPr="00B862DA" w:rsidR="006969C2">
        <w:rPr>
          <w:lang w:val="en-GB"/>
        </w:rPr>
        <w:t>, in force at the time</w:t>
      </w:r>
      <w:r w:rsidRPr="00B862DA" w:rsidR="009F3440">
        <w:rPr>
          <w:lang w:val="en-GB"/>
        </w:rPr>
        <w:t>) read as follows:</w:t>
      </w:r>
    </w:p>
    <w:p w:rsidRPr="00B862DA" w:rsidR="009F3440" w:rsidP="00B862DA" w:rsidRDefault="009F3440">
      <w:pPr>
        <w:pStyle w:val="ECHRTitleCentre3"/>
        <w:rPr>
          <w:lang w:val="en-GB"/>
        </w:rPr>
      </w:pPr>
      <w:r w:rsidRPr="00B862DA">
        <w:rPr>
          <w:lang w:val="en-GB"/>
        </w:rPr>
        <w:t>Article 3.9</w:t>
      </w:r>
    </w:p>
    <w:p w:rsidRPr="00B862DA" w:rsidR="009F3440" w:rsidP="00B862DA" w:rsidRDefault="006969C2">
      <w:pPr>
        <w:pStyle w:val="ECHRParaQuote"/>
        <w:rPr>
          <w:lang w:val="en-GB"/>
        </w:rPr>
      </w:pPr>
      <w:r w:rsidRPr="00B862DA">
        <w:rPr>
          <w:lang w:val="en-GB"/>
        </w:rPr>
        <w:t>“</w:t>
      </w:r>
      <w:r w:rsidRPr="00B862DA" w:rsidR="009F3440">
        <w:rPr>
          <w:lang w:val="en-GB"/>
        </w:rPr>
        <w:t xml:space="preserve">Administrative </w:t>
      </w:r>
      <w:r w:rsidRPr="00B862DA" w:rsidR="003B35C1">
        <w:rPr>
          <w:lang w:val="en-GB"/>
        </w:rPr>
        <w:t>detention (</w:t>
      </w:r>
      <w:r w:rsidRPr="00B862DA" w:rsidR="0046295D">
        <w:rPr>
          <w:i/>
          <w:lang w:val="ru-RU"/>
        </w:rPr>
        <w:t>административный</w:t>
      </w:r>
      <w:r w:rsidRPr="00B862DA" w:rsidR="0046295D">
        <w:rPr>
          <w:i/>
        </w:rPr>
        <w:t xml:space="preserve"> </w:t>
      </w:r>
      <w:r w:rsidRPr="00B862DA" w:rsidR="0046295D">
        <w:rPr>
          <w:i/>
          <w:lang w:val="ru-RU"/>
        </w:rPr>
        <w:t>арест</w:t>
      </w:r>
      <w:r w:rsidRPr="00B862DA" w:rsidR="003B35C1">
        <w:rPr>
          <w:lang w:val="en-GB"/>
        </w:rPr>
        <w:t>)</w:t>
      </w:r>
      <w:r w:rsidRPr="00B862DA" w:rsidR="009F3440">
        <w:rPr>
          <w:lang w:val="en-GB"/>
        </w:rPr>
        <w:t>, a type of administrative sentence, is imposed by a judge in exceptional cases for a limited number of administrative offences and for a period not exceeding fifteen days.</w:t>
      </w:r>
      <w:r w:rsidRPr="00B862DA">
        <w:rPr>
          <w:lang w:val="en-GB"/>
        </w:rPr>
        <w:t>”</w:t>
      </w:r>
    </w:p>
    <w:p w:rsidRPr="00B862DA" w:rsidR="00015130" w:rsidP="00B862DA" w:rsidRDefault="00015130">
      <w:pPr>
        <w:pStyle w:val="ECHRTitleCentre3"/>
        <w:rPr>
          <w:lang w:val="en-GB"/>
        </w:rPr>
      </w:pPr>
      <w:r w:rsidRPr="00B862DA">
        <w:rPr>
          <w:lang w:val="en-GB"/>
        </w:rPr>
        <w:t>Article 12.7 § 2</w:t>
      </w:r>
    </w:p>
    <w:p w:rsidRPr="00B862DA" w:rsidR="009F3440" w:rsidP="00B862DA" w:rsidRDefault="006969C2">
      <w:pPr>
        <w:pStyle w:val="ECHRParaQuote"/>
        <w:rPr>
          <w:lang w:val="en-GB" w:eastAsia="en-GB"/>
        </w:rPr>
      </w:pPr>
      <w:r w:rsidRPr="00B862DA">
        <w:rPr>
          <w:lang w:val="en-GB"/>
        </w:rPr>
        <w:t>“</w:t>
      </w:r>
      <w:r w:rsidRPr="00B862DA" w:rsidR="0078745B">
        <w:rPr>
          <w:lang w:val="en-GB"/>
        </w:rPr>
        <w:t>Continuing to d</w:t>
      </w:r>
      <w:r w:rsidRPr="00B862DA" w:rsidR="009F3440">
        <w:rPr>
          <w:lang w:val="en-GB"/>
        </w:rPr>
        <w:t>riv</w:t>
      </w:r>
      <w:r w:rsidRPr="00B862DA" w:rsidR="0078745B">
        <w:rPr>
          <w:lang w:val="en-GB"/>
        </w:rPr>
        <w:t>e</w:t>
      </w:r>
      <w:r w:rsidRPr="00B862DA" w:rsidR="009F3440">
        <w:rPr>
          <w:lang w:val="en-GB"/>
        </w:rPr>
        <w:t xml:space="preserve"> a vehicle a</w:t>
      </w:r>
      <w:r w:rsidRPr="00B862DA" w:rsidR="0078745B">
        <w:rPr>
          <w:lang w:val="en-GB"/>
        </w:rPr>
        <w:t>fter</w:t>
      </w:r>
      <w:r w:rsidRPr="00B862DA" w:rsidR="009F3440">
        <w:rPr>
          <w:lang w:val="en-GB"/>
        </w:rPr>
        <w:t xml:space="preserve"> </w:t>
      </w:r>
      <w:r w:rsidRPr="00B862DA" w:rsidR="0078745B">
        <w:rPr>
          <w:lang w:val="en-GB"/>
        </w:rPr>
        <w:t>a</w:t>
      </w:r>
      <w:r w:rsidRPr="00B862DA" w:rsidR="009F3440">
        <w:rPr>
          <w:lang w:val="en-GB"/>
        </w:rPr>
        <w:t xml:space="preserve"> driving licence </w:t>
      </w:r>
      <w:r w:rsidRPr="00B862DA" w:rsidR="003B35C1">
        <w:rPr>
          <w:lang w:val="en-GB"/>
        </w:rPr>
        <w:t>h</w:t>
      </w:r>
      <w:r w:rsidRPr="00B862DA" w:rsidR="009F3440">
        <w:rPr>
          <w:lang w:val="en-GB"/>
        </w:rPr>
        <w:t>as</w:t>
      </w:r>
      <w:r w:rsidRPr="00B862DA" w:rsidR="003B35C1">
        <w:rPr>
          <w:lang w:val="en-GB"/>
        </w:rPr>
        <w:t xml:space="preserve"> been</w:t>
      </w:r>
      <w:r w:rsidRPr="00B862DA" w:rsidR="009F3440">
        <w:rPr>
          <w:lang w:val="en-GB"/>
        </w:rPr>
        <w:t xml:space="preserve"> withdrawn is punishable by administrative </w:t>
      </w:r>
      <w:r w:rsidRPr="00B862DA" w:rsidR="003B35C1">
        <w:rPr>
          <w:lang w:val="en-GB"/>
        </w:rPr>
        <w:t xml:space="preserve">detention </w:t>
      </w:r>
      <w:r w:rsidRPr="00B862DA" w:rsidR="009F3440">
        <w:rPr>
          <w:lang w:val="en-GB"/>
        </w:rPr>
        <w:t>of up to fifteen d</w:t>
      </w:r>
      <w:r w:rsidRPr="00B862DA" w:rsidR="00015130">
        <w:rPr>
          <w:lang w:val="en-GB"/>
        </w:rPr>
        <w:t>ays</w:t>
      </w:r>
      <w:r w:rsidRPr="00B862DA" w:rsidR="00ED7063">
        <w:rPr>
          <w:lang w:val="en-GB"/>
        </w:rPr>
        <w:t>.</w:t>
      </w:r>
      <w:r w:rsidRPr="00B862DA">
        <w:rPr>
          <w:lang w:val="en-GB"/>
        </w:rPr>
        <w:t>”</w:t>
      </w:r>
    </w:p>
    <w:p w:rsidRPr="00B862DA" w:rsidR="00014566" w:rsidP="00B862DA" w:rsidRDefault="00ED7063">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15</w:t>
      </w:r>
      <w:r w:rsidRPr="00B862DA">
        <w:rPr>
          <w:lang w:val="en-GB"/>
        </w:rPr>
        <w:fldChar w:fldCharType="end"/>
      </w:r>
      <w:r w:rsidRPr="00B862DA">
        <w:rPr>
          <w:lang w:val="en-GB"/>
        </w:rPr>
        <w:t>.  </w:t>
      </w:r>
      <w:r w:rsidRPr="00B862DA" w:rsidR="002244E2">
        <w:rPr>
          <w:lang w:val="en-GB"/>
        </w:rPr>
        <w:t>At the time of the events</w:t>
      </w:r>
      <w:r w:rsidRPr="00B862DA" w:rsidR="003B35C1">
        <w:rPr>
          <w:lang w:val="en-GB"/>
        </w:rPr>
        <w:t>,</w:t>
      </w:r>
      <w:r w:rsidRPr="00B862DA" w:rsidR="002244E2">
        <w:rPr>
          <w:lang w:val="en-GB"/>
        </w:rPr>
        <w:t xml:space="preserve"> administrative detention was governed by the Regulations on Procedure for Serving an Administrative </w:t>
      </w:r>
      <w:r w:rsidRPr="00B862DA" w:rsidR="00767752">
        <w:rPr>
          <w:lang w:val="en-GB"/>
        </w:rPr>
        <w:t>Detention</w:t>
      </w:r>
      <w:r w:rsidRPr="00B862DA" w:rsidR="002244E2">
        <w:rPr>
          <w:lang w:val="en-GB"/>
        </w:rPr>
        <w:t xml:space="preserve"> (adopted by </w:t>
      </w:r>
      <w:r w:rsidRPr="00B862DA" w:rsidR="006969C2">
        <w:rPr>
          <w:lang w:val="en-GB"/>
        </w:rPr>
        <w:t>the Government</w:t>
      </w:r>
      <w:r w:rsidRPr="00B862DA" w:rsidR="003B35C1">
        <w:rPr>
          <w:lang w:val="en-GB"/>
        </w:rPr>
        <w:t>al</w:t>
      </w:r>
      <w:r w:rsidRPr="00B862DA" w:rsidR="006969C2">
        <w:rPr>
          <w:lang w:val="en-GB"/>
        </w:rPr>
        <w:t xml:space="preserve"> D</w:t>
      </w:r>
      <w:r w:rsidRPr="00B862DA" w:rsidR="002244E2">
        <w:rPr>
          <w:lang w:val="en-GB"/>
        </w:rPr>
        <w:t xml:space="preserve">ecree </w:t>
      </w:r>
      <w:r w:rsidRPr="00B862DA" w:rsidR="006969C2">
        <w:rPr>
          <w:lang w:val="en-GB"/>
        </w:rPr>
        <w:t xml:space="preserve">no. 726 </w:t>
      </w:r>
      <w:r w:rsidRPr="00B862DA" w:rsidR="002244E2">
        <w:rPr>
          <w:lang w:val="en-GB"/>
        </w:rPr>
        <w:t>of 2 October 2002) and</w:t>
      </w:r>
      <w:r w:rsidRPr="00B862DA" w:rsidR="004E7356">
        <w:rPr>
          <w:lang w:val="en-GB"/>
        </w:rPr>
        <w:t xml:space="preserve"> by</w:t>
      </w:r>
      <w:r w:rsidRPr="00B862DA" w:rsidR="002244E2">
        <w:rPr>
          <w:lang w:val="en-GB"/>
        </w:rPr>
        <w:t xml:space="preserve"> </w:t>
      </w:r>
      <w:r w:rsidRPr="00B862DA" w:rsidR="004E7356">
        <w:rPr>
          <w:lang w:val="en-GB"/>
        </w:rPr>
        <w:t xml:space="preserve">the Internal Rules for Detention Facilities for Administrative </w:t>
      </w:r>
      <w:r w:rsidRPr="00B862DA" w:rsidR="0017480B">
        <w:rPr>
          <w:lang w:val="en-GB"/>
        </w:rPr>
        <w:t>Detain</w:t>
      </w:r>
      <w:r w:rsidRPr="00B862DA" w:rsidR="004E7356">
        <w:rPr>
          <w:lang w:val="en-GB"/>
        </w:rPr>
        <w:t xml:space="preserve">ees (adopted by </w:t>
      </w:r>
      <w:r w:rsidRPr="00B862DA" w:rsidR="006969C2">
        <w:rPr>
          <w:lang w:val="en-GB"/>
        </w:rPr>
        <w:t>O</w:t>
      </w:r>
      <w:r w:rsidRPr="00B862DA" w:rsidR="004E7356">
        <w:rPr>
          <w:lang w:val="en-GB"/>
        </w:rPr>
        <w:t xml:space="preserve">rder </w:t>
      </w:r>
      <w:r w:rsidRPr="00B862DA" w:rsidR="006969C2">
        <w:rPr>
          <w:lang w:val="en-GB"/>
        </w:rPr>
        <w:t xml:space="preserve">no. 605dsp issued by </w:t>
      </w:r>
      <w:r w:rsidRPr="00B862DA" w:rsidR="004E7356">
        <w:rPr>
          <w:lang w:val="en-GB"/>
        </w:rPr>
        <w:t xml:space="preserve">the Ministry of Internal Affairs of Russia </w:t>
      </w:r>
      <w:r w:rsidRPr="00B862DA" w:rsidR="006969C2">
        <w:rPr>
          <w:lang w:val="en-GB"/>
        </w:rPr>
        <w:t>on</w:t>
      </w:r>
      <w:r w:rsidRPr="00B862DA" w:rsidR="004E7356">
        <w:rPr>
          <w:lang w:val="en-GB"/>
        </w:rPr>
        <w:t xml:space="preserve"> 6</w:t>
      </w:r>
      <w:r w:rsidRPr="00B862DA" w:rsidR="006969C2">
        <w:rPr>
          <w:lang w:val="en-GB"/>
        </w:rPr>
        <w:t> </w:t>
      </w:r>
      <w:r w:rsidRPr="00B862DA" w:rsidR="004E7356">
        <w:rPr>
          <w:lang w:val="en-GB"/>
        </w:rPr>
        <w:t>June 2000).</w:t>
      </w:r>
      <w:r w:rsidRPr="00B862DA" w:rsidR="000A595A">
        <w:rPr>
          <w:lang w:val="en-GB"/>
        </w:rPr>
        <w:t xml:space="preserve"> </w:t>
      </w:r>
      <w:r w:rsidRPr="00B862DA" w:rsidR="0040288E">
        <w:rPr>
          <w:lang w:val="en-GB"/>
        </w:rPr>
        <w:t>Both documents were silent on the possibility of</w:t>
      </w:r>
      <w:r w:rsidRPr="00B862DA" w:rsidR="00616D91">
        <w:rPr>
          <w:lang w:val="en-GB"/>
        </w:rPr>
        <w:t xml:space="preserve"> family visits for administrative </w:t>
      </w:r>
      <w:r w:rsidRPr="00B862DA" w:rsidR="0017480B">
        <w:rPr>
          <w:lang w:val="en-GB"/>
        </w:rPr>
        <w:t>detain</w:t>
      </w:r>
      <w:r w:rsidRPr="00B862DA" w:rsidR="00616D91">
        <w:rPr>
          <w:lang w:val="en-GB"/>
        </w:rPr>
        <w:t>ees.</w:t>
      </w:r>
    </w:p>
    <w:p w:rsidRPr="00B862DA" w:rsidR="00AC7A4A" w:rsidP="00B862DA" w:rsidRDefault="00616D91">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16</w:t>
      </w:r>
      <w:r w:rsidRPr="00B862DA">
        <w:rPr>
          <w:lang w:val="en-GB"/>
        </w:rPr>
        <w:fldChar w:fldCharType="end"/>
      </w:r>
      <w:r w:rsidRPr="00B862DA">
        <w:rPr>
          <w:lang w:val="en-GB"/>
        </w:rPr>
        <w:t xml:space="preserve">.  On 26 July 2013 </w:t>
      </w:r>
      <w:r w:rsidRPr="00B862DA" w:rsidR="00B25866">
        <w:rPr>
          <w:lang w:val="en-GB"/>
        </w:rPr>
        <w:t xml:space="preserve">the Administrative Detention Act (no. 67-FZ of 26 April 2013) came into force. Article 10 of the Act </w:t>
      </w:r>
      <w:r w:rsidRPr="00B862DA" w:rsidR="00804114">
        <w:rPr>
          <w:lang w:val="en-GB"/>
        </w:rPr>
        <w:t xml:space="preserve">provided administrative </w:t>
      </w:r>
      <w:r w:rsidRPr="00B862DA" w:rsidR="0017480B">
        <w:rPr>
          <w:lang w:val="en-GB"/>
        </w:rPr>
        <w:t>detain</w:t>
      </w:r>
      <w:r w:rsidRPr="00B862DA" w:rsidR="00804114">
        <w:rPr>
          <w:lang w:val="en-GB"/>
        </w:rPr>
        <w:t xml:space="preserve">ees </w:t>
      </w:r>
      <w:r w:rsidRPr="00B862DA" w:rsidR="0040288E">
        <w:rPr>
          <w:lang w:val="en-GB"/>
        </w:rPr>
        <w:t xml:space="preserve">with </w:t>
      </w:r>
      <w:r w:rsidRPr="00B862DA" w:rsidR="002902E5">
        <w:rPr>
          <w:lang w:val="en-GB"/>
        </w:rPr>
        <w:t xml:space="preserve">the </w:t>
      </w:r>
      <w:r w:rsidRPr="00B862DA" w:rsidR="00804114">
        <w:rPr>
          <w:lang w:val="en-GB"/>
        </w:rPr>
        <w:t xml:space="preserve">right to </w:t>
      </w:r>
      <w:r w:rsidRPr="00B862DA" w:rsidR="0040288E">
        <w:rPr>
          <w:lang w:val="en-GB"/>
        </w:rPr>
        <w:t>have an</w:t>
      </w:r>
      <w:r w:rsidRPr="00B862DA" w:rsidR="00804114">
        <w:rPr>
          <w:lang w:val="en-GB"/>
        </w:rPr>
        <w:t xml:space="preserve"> hour-long family visit </w:t>
      </w:r>
      <w:r w:rsidRPr="00B862DA" w:rsidR="001511B6">
        <w:rPr>
          <w:lang w:val="en-GB"/>
        </w:rPr>
        <w:t>during</w:t>
      </w:r>
      <w:r w:rsidRPr="00B862DA" w:rsidR="00804114">
        <w:rPr>
          <w:lang w:val="en-GB"/>
        </w:rPr>
        <w:t xml:space="preserve"> </w:t>
      </w:r>
      <w:r w:rsidRPr="00B862DA" w:rsidR="0040288E">
        <w:rPr>
          <w:lang w:val="en-GB"/>
        </w:rPr>
        <w:t xml:space="preserve">the </w:t>
      </w:r>
      <w:r w:rsidRPr="00B862DA" w:rsidR="00804114">
        <w:rPr>
          <w:lang w:val="en-GB"/>
        </w:rPr>
        <w:t>detention period.</w:t>
      </w:r>
    </w:p>
    <w:p w:rsidRPr="00B862DA" w:rsidR="00014566" w:rsidP="00B862DA" w:rsidRDefault="00014566">
      <w:pPr>
        <w:pStyle w:val="ECHRTitle1"/>
        <w:rPr>
          <w:lang w:val="en-GB"/>
        </w:rPr>
      </w:pPr>
      <w:r w:rsidRPr="00B862DA">
        <w:rPr>
          <w:lang w:val="en-GB"/>
        </w:rPr>
        <w:t>THE LAW</w:t>
      </w:r>
    </w:p>
    <w:p w:rsidRPr="00B862DA" w:rsidR="00014566" w:rsidP="00B862DA" w:rsidRDefault="00014566">
      <w:pPr>
        <w:pStyle w:val="ECHRHeading1"/>
        <w:rPr>
          <w:lang w:val="en-GB"/>
        </w:rPr>
      </w:pPr>
      <w:r w:rsidRPr="00B862DA">
        <w:rPr>
          <w:lang w:val="en-GB"/>
        </w:rPr>
        <w:t xml:space="preserve">I.  ALLEGED VIOLATION OF ARTICLE </w:t>
      </w:r>
      <w:r w:rsidRPr="00B862DA" w:rsidR="00225617">
        <w:rPr>
          <w:lang w:val="en-GB"/>
        </w:rPr>
        <w:t>8</w:t>
      </w:r>
      <w:r w:rsidRPr="00B862DA">
        <w:rPr>
          <w:lang w:val="en-GB"/>
        </w:rPr>
        <w:t xml:space="preserve"> OF THE CONVENTION</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17</w:t>
      </w:r>
      <w:r w:rsidRPr="00B862DA">
        <w:rPr>
          <w:lang w:val="en-GB"/>
        </w:rPr>
        <w:fldChar w:fldCharType="end"/>
      </w:r>
      <w:r w:rsidRPr="00B862DA" w:rsidR="00014566">
        <w:rPr>
          <w:lang w:val="en-GB"/>
        </w:rPr>
        <w:t xml:space="preserve">.  The applicant complained </w:t>
      </w:r>
      <w:r w:rsidRPr="00B862DA" w:rsidR="0040288E">
        <w:rPr>
          <w:lang w:val="en-GB"/>
        </w:rPr>
        <w:t xml:space="preserve">under Article 8 of the Convention </w:t>
      </w:r>
      <w:r w:rsidRPr="00B862DA" w:rsidR="005876CD">
        <w:rPr>
          <w:lang w:val="en-GB"/>
        </w:rPr>
        <w:t xml:space="preserve">about </w:t>
      </w:r>
      <w:r w:rsidRPr="00B862DA" w:rsidR="0040288E">
        <w:rPr>
          <w:lang w:val="en-GB"/>
        </w:rPr>
        <w:t xml:space="preserve">the </w:t>
      </w:r>
      <w:r w:rsidRPr="00B862DA" w:rsidR="003B35C1">
        <w:rPr>
          <w:lang w:val="en-GB"/>
        </w:rPr>
        <w:t xml:space="preserve">denial </w:t>
      </w:r>
      <w:r w:rsidRPr="00B862DA" w:rsidR="0040288E">
        <w:rPr>
          <w:lang w:val="en-GB"/>
        </w:rPr>
        <w:t>o</w:t>
      </w:r>
      <w:r w:rsidRPr="00B862DA" w:rsidR="003B35C1">
        <w:rPr>
          <w:lang w:val="en-GB"/>
        </w:rPr>
        <w:t>f</w:t>
      </w:r>
      <w:r w:rsidRPr="00B862DA" w:rsidR="0040288E">
        <w:rPr>
          <w:lang w:val="en-GB"/>
        </w:rPr>
        <w:t xml:space="preserve"> a </w:t>
      </w:r>
      <w:r w:rsidRPr="00B862DA" w:rsidR="00BB0617">
        <w:rPr>
          <w:lang w:val="en-GB"/>
        </w:rPr>
        <w:t xml:space="preserve">family visit </w:t>
      </w:r>
      <w:r w:rsidRPr="00B862DA" w:rsidR="0040288E">
        <w:rPr>
          <w:lang w:val="en-GB"/>
        </w:rPr>
        <w:t xml:space="preserve">while </w:t>
      </w:r>
      <w:r w:rsidRPr="00B862DA" w:rsidR="003B35C1">
        <w:rPr>
          <w:lang w:val="en-GB"/>
        </w:rPr>
        <w:t xml:space="preserve">he was </w:t>
      </w:r>
      <w:r w:rsidRPr="00B862DA" w:rsidR="0040288E">
        <w:rPr>
          <w:lang w:val="en-GB"/>
        </w:rPr>
        <w:t xml:space="preserve">under administrative </w:t>
      </w:r>
      <w:r w:rsidRPr="00B862DA" w:rsidR="00767752">
        <w:rPr>
          <w:lang w:val="en-GB"/>
        </w:rPr>
        <w:t>detention</w:t>
      </w:r>
      <w:r w:rsidRPr="00B862DA" w:rsidR="0040288E">
        <w:rPr>
          <w:lang w:val="en-GB"/>
        </w:rPr>
        <w:t>. Article</w:t>
      </w:r>
      <w:r w:rsidRPr="00B862DA" w:rsidR="006243E6">
        <w:rPr>
          <w:lang w:val="en-GB"/>
        </w:rPr>
        <w:t> </w:t>
      </w:r>
      <w:r w:rsidRPr="00B862DA" w:rsidR="0040288E">
        <w:rPr>
          <w:lang w:val="en-GB"/>
        </w:rPr>
        <w:t>8</w:t>
      </w:r>
      <w:r w:rsidRPr="00B862DA" w:rsidR="00BB0617">
        <w:rPr>
          <w:lang w:val="en-GB"/>
        </w:rPr>
        <w:t xml:space="preserve"> </w:t>
      </w:r>
      <w:r w:rsidRPr="00B862DA" w:rsidR="005F2EEC">
        <w:rPr>
          <w:lang w:val="en-GB"/>
        </w:rPr>
        <w:t>reads as follows:</w:t>
      </w:r>
    </w:p>
    <w:p w:rsidRPr="00B862DA" w:rsidR="00BB0617" w:rsidP="00B862DA" w:rsidRDefault="00BB0617">
      <w:pPr>
        <w:pStyle w:val="ECHRParaQuote"/>
        <w:rPr>
          <w:lang w:val="en-GB"/>
        </w:rPr>
      </w:pPr>
      <w:r w:rsidRPr="00B862DA">
        <w:rPr>
          <w:lang w:val="en-GB"/>
        </w:rPr>
        <w:t>“1.  Everyone has the right to respect for his private and family life, his home and his correspondence.</w:t>
      </w:r>
    </w:p>
    <w:p w:rsidRPr="00B862DA" w:rsidR="00014566" w:rsidP="00B862DA" w:rsidRDefault="00BB0617">
      <w:pPr>
        <w:pStyle w:val="ECHRParaQuote"/>
        <w:rPr>
          <w:lang w:val="en-GB"/>
        </w:rPr>
      </w:pPr>
      <w:r w:rsidRPr="00B862DA">
        <w:rPr>
          <w:lang w:val="en-GB"/>
        </w:rPr>
        <w:t>2.  There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B862DA" w:rsidR="00014566" w:rsidP="00B862DA" w:rsidRDefault="00014566">
      <w:pPr>
        <w:pStyle w:val="ECHRHeading2"/>
        <w:rPr>
          <w:lang w:val="en-GB"/>
        </w:rPr>
      </w:pPr>
      <w:r w:rsidRPr="00B862DA">
        <w:rPr>
          <w:lang w:val="en-GB"/>
        </w:rPr>
        <w:t>A.  Admissibility</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18</w:t>
      </w:r>
      <w:r w:rsidRPr="00B862DA">
        <w:rPr>
          <w:lang w:val="en-GB"/>
        </w:rPr>
        <w:fldChar w:fldCharType="end"/>
      </w:r>
      <w:r w:rsidRPr="00B862DA" w:rsidR="00014566">
        <w:rPr>
          <w:lang w:val="en-GB"/>
        </w:rPr>
        <w:t xml:space="preserve">.  The Court notes that </w:t>
      </w:r>
      <w:r w:rsidRPr="00B862DA" w:rsidR="00466552">
        <w:rPr>
          <w:lang w:val="en-GB"/>
        </w:rPr>
        <w:t>this</w:t>
      </w:r>
      <w:r w:rsidRPr="00B862DA" w:rsidR="00014566">
        <w:rPr>
          <w:lang w:val="en-GB"/>
        </w:rPr>
        <w:t xml:space="preserve"> complaint is not manifestly ill-founded within the meaning of Article 35 § 3 (a) of the Convention. It further notes that it is not inadmissible on any other grounds. It must therefore be declared admissible.</w:t>
      </w:r>
    </w:p>
    <w:p w:rsidRPr="00B862DA" w:rsidR="00014566" w:rsidP="00B862DA" w:rsidRDefault="00014566">
      <w:pPr>
        <w:pStyle w:val="ECHRHeading2"/>
        <w:rPr>
          <w:lang w:val="en-GB"/>
        </w:rPr>
      </w:pPr>
      <w:r w:rsidRPr="00B862DA">
        <w:rPr>
          <w:lang w:val="en-GB"/>
        </w:rPr>
        <w:t>B.  Merits</w:t>
      </w:r>
    </w:p>
    <w:p w:rsidRPr="00B862DA" w:rsidR="005B2D8A" w:rsidP="00B862DA" w:rsidRDefault="005B2D8A">
      <w:pPr>
        <w:pStyle w:val="ECHRHeading3"/>
        <w:rPr>
          <w:rFonts w:asciiTheme="minorHAnsi" w:hAnsiTheme="minorHAnsi" w:eastAsiaTheme="minorEastAsia" w:cstheme="minorBidi"/>
          <w:bCs w:val="0"/>
          <w:i w:val="0"/>
          <w:lang w:val="en-GB"/>
        </w:rPr>
      </w:pPr>
      <w:r w:rsidRPr="00B862DA">
        <w:rPr>
          <w:lang w:val="en-GB"/>
        </w:rPr>
        <w:t>1.  The parties</w:t>
      </w:r>
      <w:r w:rsidRPr="00B862DA" w:rsidR="00B862DA">
        <w:rPr>
          <w:lang w:val="en-GB"/>
        </w:rPr>
        <w:t>’</w:t>
      </w:r>
      <w:r w:rsidRPr="00B862DA">
        <w:rPr>
          <w:lang w:val="en-GB"/>
        </w:rPr>
        <w:t xml:space="preserve"> submissions</w:t>
      </w:r>
    </w:p>
    <w:p w:rsidRPr="00B862DA" w:rsidR="00AC7A4A" w:rsidP="00B862DA" w:rsidRDefault="004D576C">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19</w:t>
      </w:r>
      <w:r w:rsidRPr="00B862DA">
        <w:rPr>
          <w:lang w:val="en-GB"/>
        </w:rPr>
        <w:fldChar w:fldCharType="end"/>
      </w:r>
      <w:r w:rsidRPr="00B862DA">
        <w:rPr>
          <w:lang w:val="en-GB"/>
        </w:rPr>
        <w:t xml:space="preserve">.  The Government submitted that Russian law did not prohibit administrative </w:t>
      </w:r>
      <w:r w:rsidRPr="00B862DA" w:rsidR="0017480B">
        <w:rPr>
          <w:lang w:val="en-GB"/>
        </w:rPr>
        <w:t>detain</w:t>
      </w:r>
      <w:r w:rsidRPr="00B862DA">
        <w:rPr>
          <w:lang w:val="en-GB"/>
        </w:rPr>
        <w:t>ees from having family visits. However, the applicant</w:t>
      </w:r>
      <w:r w:rsidRPr="00B862DA" w:rsidR="00B862DA">
        <w:rPr>
          <w:lang w:val="en-GB"/>
        </w:rPr>
        <w:t>’</w:t>
      </w:r>
      <w:r w:rsidRPr="00B862DA">
        <w:rPr>
          <w:lang w:val="en-GB"/>
        </w:rPr>
        <w:t xml:space="preserve">s request </w:t>
      </w:r>
      <w:r w:rsidRPr="00B862DA" w:rsidR="003B35C1">
        <w:rPr>
          <w:lang w:val="en-GB"/>
        </w:rPr>
        <w:t xml:space="preserve">had </w:t>
      </w:r>
      <w:r w:rsidRPr="00B862DA">
        <w:rPr>
          <w:lang w:val="en-GB"/>
        </w:rPr>
        <w:t xml:space="preserve">not </w:t>
      </w:r>
      <w:r w:rsidRPr="00B862DA" w:rsidR="003B35C1">
        <w:rPr>
          <w:lang w:val="en-GB"/>
        </w:rPr>
        <w:t xml:space="preserve">been </w:t>
      </w:r>
      <w:r w:rsidRPr="00B862DA">
        <w:rPr>
          <w:lang w:val="en-GB"/>
        </w:rPr>
        <w:t xml:space="preserve">sufficiently precise as he </w:t>
      </w:r>
      <w:r w:rsidRPr="00B862DA" w:rsidR="003B35C1">
        <w:rPr>
          <w:lang w:val="en-GB"/>
        </w:rPr>
        <w:t xml:space="preserve">had </w:t>
      </w:r>
      <w:r w:rsidRPr="00B862DA">
        <w:rPr>
          <w:lang w:val="en-GB"/>
        </w:rPr>
        <w:t xml:space="preserve">failed to </w:t>
      </w:r>
      <w:r w:rsidRPr="00B862DA" w:rsidR="003B35C1">
        <w:rPr>
          <w:lang w:val="en-GB"/>
        </w:rPr>
        <w:t>prov</w:t>
      </w:r>
      <w:r w:rsidRPr="00B862DA">
        <w:rPr>
          <w:lang w:val="en-GB"/>
        </w:rPr>
        <w:t>ide</w:t>
      </w:r>
      <w:r w:rsidRPr="00B862DA" w:rsidR="003B35C1">
        <w:rPr>
          <w:lang w:val="en-GB"/>
        </w:rPr>
        <w:t xml:space="preserve"> the</w:t>
      </w:r>
      <w:r w:rsidRPr="00B862DA">
        <w:rPr>
          <w:lang w:val="en-GB"/>
        </w:rPr>
        <w:t xml:space="preserve"> personal details of </w:t>
      </w:r>
      <w:r w:rsidRPr="00B862DA" w:rsidR="003B35C1">
        <w:rPr>
          <w:lang w:val="en-GB"/>
        </w:rPr>
        <w:t xml:space="preserve">the </w:t>
      </w:r>
      <w:r w:rsidRPr="00B862DA">
        <w:rPr>
          <w:lang w:val="en-GB"/>
        </w:rPr>
        <w:t>relatives wi</w:t>
      </w:r>
      <w:r w:rsidRPr="00B862DA" w:rsidR="003B35C1">
        <w:rPr>
          <w:lang w:val="en-GB"/>
        </w:rPr>
        <w:t>sh</w:t>
      </w:r>
      <w:r w:rsidRPr="00B862DA">
        <w:rPr>
          <w:lang w:val="en-GB"/>
        </w:rPr>
        <w:t xml:space="preserve">ing to visit him. Thus, the applicant could not claim that his right under Article 8 </w:t>
      </w:r>
      <w:r w:rsidRPr="00B862DA" w:rsidR="003B35C1">
        <w:rPr>
          <w:lang w:val="en-GB"/>
        </w:rPr>
        <w:t xml:space="preserve">had been </w:t>
      </w:r>
      <w:r w:rsidRPr="00B862DA">
        <w:rPr>
          <w:lang w:val="en-GB"/>
        </w:rPr>
        <w:t>violated.</w:t>
      </w:r>
    </w:p>
    <w:p w:rsidRPr="00B862DA" w:rsidR="004D576C" w:rsidP="00B862DA" w:rsidRDefault="004D576C">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20</w:t>
      </w:r>
      <w:r w:rsidRPr="00B862DA">
        <w:rPr>
          <w:lang w:val="en-GB"/>
        </w:rPr>
        <w:fldChar w:fldCharType="end"/>
      </w:r>
      <w:r w:rsidRPr="00B862DA">
        <w:rPr>
          <w:lang w:val="en-GB"/>
        </w:rPr>
        <w:t xml:space="preserve">.  The applicant argued that police officers were reluctant to grant family visits to administrative </w:t>
      </w:r>
      <w:r w:rsidRPr="00B862DA" w:rsidR="0017480B">
        <w:rPr>
          <w:lang w:val="en-GB"/>
        </w:rPr>
        <w:t>detain</w:t>
      </w:r>
      <w:r w:rsidRPr="00B862DA">
        <w:rPr>
          <w:lang w:val="en-GB"/>
        </w:rPr>
        <w:t xml:space="preserve">ees throughout Russia due </w:t>
      </w:r>
      <w:r w:rsidRPr="00B862DA" w:rsidR="003B35C1">
        <w:rPr>
          <w:lang w:val="en-GB"/>
        </w:rPr>
        <w:t>to the absence</w:t>
      </w:r>
      <w:r w:rsidRPr="00B862DA">
        <w:rPr>
          <w:lang w:val="en-GB"/>
        </w:rPr>
        <w:t xml:space="preserve"> of clear and precise rules governing that aspect of administrative detention.</w:t>
      </w:r>
    </w:p>
    <w:p w:rsidRPr="00B862DA" w:rsidR="00AC7A4A" w:rsidP="00B862DA" w:rsidRDefault="004D576C">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21</w:t>
      </w:r>
      <w:r w:rsidRPr="00B862DA">
        <w:rPr>
          <w:lang w:val="en-GB"/>
        </w:rPr>
        <w:fldChar w:fldCharType="end"/>
      </w:r>
      <w:r w:rsidRPr="00B862DA">
        <w:rPr>
          <w:lang w:val="en-GB"/>
        </w:rPr>
        <w:t xml:space="preserve">.  The applicant disputed that he had been denied a family visit because he had failed to </w:t>
      </w:r>
      <w:r w:rsidRPr="00B862DA" w:rsidR="003B35C1">
        <w:rPr>
          <w:lang w:val="en-GB"/>
        </w:rPr>
        <w:t>prov</w:t>
      </w:r>
      <w:r w:rsidRPr="00B862DA">
        <w:rPr>
          <w:lang w:val="en-GB"/>
        </w:rPr>
        <w:t>ide</w:t>
      </w:r>
      <w:r w:rsidRPr="00B862DA" w:rsidR="003B35C1">
        <w:rPr>
          <w:lang w:val="en-GB"/>
        </w:rPr>
        <w:t xml:space="preserve"> the</w:t>
      </w:r>
      <w:r w:rsidRPr="00B862DA">
        <w:rPr>
          <w:lang w:val="en-GB"/>
        </w:rPr>
        <w:t xml:space="preserve"> personal details of his relatives. He firstly </w:t>
      </w:r>
      <w:r w:rsidRPr="00B862DA" w:rsidR="003B35C1">
        <w:rPr>
          <w:lang w:val="en-GB"/>
        </w:rPr>
        <w:t>argu</w:t>
      </w:r>
      <w:r w:rsidRPr="00B862DA">
        <w:rPr>
          <w:lang w:val="en-GB"/>
        </w:rPr>
        <w:t xml:space="preserve">ed that the handwritten note by the acting head of the detention unit (see § 8) had clearly demonstrated that the police interpreted the relevant provisions of the domestic law as imposing a total ban on family visits for administrative </w:t>
      </w:r>
      <w:r w:rsidRPr="00B862DA" w:rsidR="0017480B">
        <w:rPr>
          <w:lang w:val="en-GB"/>
        </w:rPr>
        <w:t>detain</w:t>
      </w:r>
      <w:r w:rsidRPr="00B862DA">
        <w:rPr>
          <w:lang w:val="en-GB"/>
        </w:rPr>
        <w:t xml:space="preserve">ees. Secondly, the applicant noted that the respondent Government had failed to refer to any legal norm requiring administrative </w:t>
      </w:r>
      <w:r w:rsidRPr="00B862DA" w:rsidR="0017480B">
        <w:rPr>
          <w:lang w:val="en-GB"/>
        </w:rPr>
        <w:t>detain</w:t>
      </w:r>
      <w:r w:rsidRPr="00B862DA">
        <w:rPr>
          <w:lang w:val="en-GB"/>
        </w:rPr>
        <w:t xml:space="preserve">ees to </w:t>
      </w:r>
      <w:r w:rsidRPr="00B862DA" w:rsidR="003B35C1">
        <w:rPr>
          <w:lang w:val="en-GB"/>
        </w:rPr>
        <w:t>prov</w:t>
      </w:r>
      <w:r w:rsidRPr="00B862DA">
        <w:rPr>
          <w:lang w:val="en-GB"/>
        </w:rPr>
        <w:t>ide</w:t>
      </w:r>
      <w:r w:rsidRPr="00B862DA" w:rsidR="003B35C1">
        <w:rPr>
          <w:lang w:val="en-GB"/>
        </w:rPr>
        <w:t xml:space="preserve"> the</w:t>
      </w:r>
      <w:r w:rsidRPr="00B862DA">
        <w:rPr>
          <w:lang w:val="en-GB"/>
        </w:rPr>
        <w:t xml:space="preserve"> personal details of their relatives whe</w:t>
      </w:r>
      <w:r w:rsidRPr="00B862DA" w:rsidR="003B35C1">
        <w:rPr>
          <w:lang w:val="en-GB"/>
        </w:rPr>
        <w:t>n</w:t>
      </w:r>
      <w:r w:rsidRPr="00B862DA">
        <w:rPr>
          <w:lang w:val="en-GB"/>
        </w:rPr>
        <w:t xml:space="preserve"> applying for a family visit.</w:t>
      </w:r>
    </w:p>
    <w:p w:rsidRPr="00B862DA" w:rsidR="00E7433A" w:rsidP="00B862DA" w:rsidRDefault="00247CD2">
      <w:pPr>
        <w:pStyle w:val="ECHRHeading3"/>
        <w:rPr>
          <w:rFonts w:asciiTheme="minorHAnsi" w:hAnsiTheme="minorHAnsi" w:eastAsiaTheme="minorEastAsia" w:cstheme="minorBidi"/>
          <w:bCs w:val="0"/>
          <w:i w:val="0"/>
          <w:lang w:val="en-GB"/>
        </w:rPr>
      </w:pPr>
      <w:r w:rsidRPr="00B862DA">
        <w:rPr>
          <w:lang w:val="en-GB"/>
        </w:rPr>
        <w:t>2</w:t>
      </w:r>
      <w:r w:rsidRPr="00B862DA" w:rsidR="00E7433A">
        <w:rPr>
          <w:lang w:val="en-GB"/>
        </w:rPr>
        <w:t>.  The Court</w:t>
      </w:r>
      <w:r w:rsidRPr="00B862DA" w:rsidR="00B862DA">
        <w:rPr>
          <w:lang w:val="en-GB"/>
        </w:rPr>
        <w:t>’</w:t>
      </w:r>
      <w:r w:rsidRPr="00B862DA" w:rsidR="00E7433A">
        <w:rPr>
          <w:lang w:val="en-GB"/>
        </w:rPr>
        <w:t>s assessment</w:t>
      </w:r>
    </w:p>
    <w:p w:rsidRPr="00B862DA" w:rsidR="00E7433A" w:rsidP="00B862DA" w:rsidRDefault="00207618">
      <w:pPr>
        <w:pStyle w:val="ECHRHeading4"/>
        <w:rPr>
          <w:lang w:val="en-GB"/>
        </w:rPr>
      </w:pPr>
      <w:r w:rsidRPr="00B862DA">
        <w:rPr>
          <w:lang w:val="en-GB"/>
        </w:rPr>
        <w:t>(a)  General principles</w:t>
      </w:r>
    </w:p>
    <w:p w:rsidRPr="00B862DA" w:rsidR="00224F9B" w:rsidP="00B862DA" w:rsidRDefault="00224F9B">
      <w:pPr>
        <w:pStyle w:val="ECHRPara"/>
        <w:rPr>
          <w:i/>
          <w:iCs/>
          <w:lang w:val="fi-FI"/>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22</w:t>
      </w:r>
      <w:r w:rsidRPr="00B862DA">
        <w:rPr>
          <w:lang w:val="en-GB"/>
        </w:rPr>
        <w:fldChar w:fldCharType="end"/>
      </w:r>
      <w:r w:rsidRPr="00B862DA">
        <w:rPr>
          <w:lang w:val="en-GB"/>
        </w:rPr>
        <w:t xml:space="preserve">.  The Court observes that detention, even for a short period, by its very nature </w:t>
      </w:r>
      <w:r w:rsidRPr="00B862DA" w:rsidR="0009344A">
        <w:rPr>
          <w:lang w:val="en-GB"/>
        </w:rPr>
        <w:t xml:space="preserve">imposes </w:t>
      </w:r>
      <w:r w:rsidRPr="00B862DA">
        <w:rPr>
          <w:lang w:val="en-GB"/>
        </w:rPr>
        <w:t>a limitation on private and family life. However, it is an essential part of a detainee</w:t>
      </w:r>
      <w:r w:rsidRPr="00B862DA" w:rsidR="00B862DA">
        <w:rPr>
          <w:lang w:val="en-GB"/>
        </w:rPr>
        <w:t>’</w:t>
      </w:r>
      <w:r w:rsidRPr="00B862DA">
        <w:rPr>
          <w:lang w:val="en-GB"/>
        </w:rPr>
        <w:t xml:space="preserve">s right to respect for family life that the authorities enable him or, if need be, assist him to maintain contact with his close family (see </w:t>
      </w:r>
      <w:r w:rsidRPr="00B862DA">
        <w:rPr>
          <w:i/>
          <w:lang w:val="en-GB"/>
        </w:rPr>
        <w:t>Estrikh v. Latvia</w:t>
      </w:r>
      <w:r w:rsidRPr="00B862DA">
        <w:rPr>
          <w:lang w:val="en-GB"/>
        </w:rPr>
        <w:t>, no. 73819/01, § 166, 18 January 2007</w:t>
      </w:r>
      <w:r w:rsidRPr="00B862DA" w:rsidR="0009344A">
        <w:rPr>
          <w:lang w:val="en-GB"/>
        </w:rPr>
        <w:t>,</w:t>
      </w:r>
      <w:r w:rsidRPr="00B862DA">
        <w:rPr>
          <w:lang w:val="en-GB"/>
        </w:rPr>
        <w:t xml:space="preserve"> and </w:t>
      </w:r>
      <w:r w:rsidRPr="00B862DA">
        <w:rPr>
          <w:i/>
          <w:lang w:val="en-GB"/>
        </w:rPr>
        <w:t>Messina v. Italy (no. 2)</w:t>
      </w:r>
      <w:r w:rsidRPr="00B862DA">
        <w:rPr>
          <w:lang w:val="en-GB"/>
        </w:rPr>
        <w:t>, no. 25498/94, § 61, ECHR 2000</w:t>
      </w:r>
      <w:r w:rsidRPr="00B862DA">
        <w:rPr>
          <w:lang w:val="en-GB"/>
        </w:rPr>
        <w:noBreakHyphen/>
        <w:t xml:space="preserve">X). Private life, as protected under Article 8, includes a right to maintain relationships with the outside world (see </w:t>
      </w:r>
      <w:r w:rsidRPr="00B862DA" w:rsidR="00B26C20">
        <w:rPr>
          <w:rStyle w:val="CLLItalic"/>
          <w:lang w:val="fi-FI"/>
        </w:rPr>
        <w:t xml:space="preserve">Khoroshenko v. Russia </w:t>
      </w:r>
      <w:r w:rsidRPr="00B862DA" w:rsidR="00B26C20">
        <w:rPr>
          <w:lang w:val="fi-FI"/>
        </w:rPr>
        <w:t>[GC]</w:t>
      </w:r>
      <w:r w:rsidRPr="00B862DA" w:rsidR="00B26C20">
        <w:rPr>
          <w:snapToGrid w:val="0"/>
          <w:lang w:val="fi-FI"/>
        </w:rPr>
        <w:t>, no.</w:t>
      </w:r>
      <w:r w:rsidRPr="00B862DA" w:rsidR="00B26C20">
        <w:rPr>
          <w:lang w:val="fi-FI"/>
        </w:rPr>
        <w:t xml:space="preserve"> 41418/04, §§ 106-109, ECHR 2015; </w:t>
      </w:r>
      <w:r w:rsidRPr="00B862DA">
        <w:rPr>
          <w:i/>
          <w:lang w:val="en-GB"/>
        </w:rPr>
        <w:t>Nada v. Switzerland</w:t>
      </w:r>
      <w:r w:rsidRPr="00B862DA" w:rsidR="002A7F2C">
        <w:rPr>
          <w:lang w:val="en-GB"/>
        </w:rPr>
        <w:t xml:space="preserve"> [GC], no. 10593/08, § </w:t>
      </w:r>
      <w:r w:rsidRPr="00B862DA">
        <w:rPr>
          <w:lang w:val="en-GB"/>
        </w:rPr>
        <w:t>151, ECHR 2012</w:t>
      </w:r>
      <w:r w:rsidRPr="00B862DA" w:rsidR="00B26C20">
        <w:rPr>
          <w:lang w:val="en-GB"/>
        </w:rPr>
        <w:t>;</w:t>
      </w:r>
      <w:r w:rsidRPr="00B862DA">
        <w:rPr>
          <w:lang w:val="en-GB"/>
        </w:rPr>
        <w:t xml:space="preserve"> and </w:t>
      </w:r>
      <w:r w:rsidRPr="00B862DA">
        <w:rPr>
          <w:i/>
          <w:lang w:val="en-GB"/>
        </w:rPr>
        <w:t>Laduna v. Slovakia</w:t>
      </w:r>
      <w:r w:rsidRPr="00B862DA">
        <w:rPr>
          <w:lang w:val="en-GB"/>
        </w:rPr>
        <w:t>, no. 31827/02, § 53, ECHR 2011).</w:t>
      </w:r>
    </w:p>
    <w:p w:rsidRPr="00B862DA" w:rsidR="00224F9B" w:rsidP="00B862DA" w:rsidRDefault="00224F9B">
      <w:pPr>
        <w:pStyle w:val="ECHRPara"/>
        <w:rPr>
          <w:i/>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23</w:t>
      </w:r>
      <w:r w:rsidRPr="00B862DA">
        <w:rPr>
          <w:lang w:val="en-GB"/>
        </w:rPr>
        <w:fldChar w:fldCharType="end"/>
      </w:r>
      <w:r w:rsidRPr="00B862DA">
        <w:rPr>
          <w:lang w:val="en-GB"/>
        </w:rPr>
        <w:t>.  </w:t>
      </w:r>
      <w:r w:rsidRPr="00B862DA" w:rsidR="0009344A">
        <w:rPr>
          <w:lang w:val="en-GB"/>
        </w:rPr>
        <w:t>A p</w:t>
      </w:r>
      <w:r w:rsidRPr="00B862DA">
        <w:rPr>
          <w:lang w:val="en-GB"/>
        </w:rPr>
        <w:t>rohibition of family visits constitutes an interference with the detainee</w:t>
      </w:r>
      <w:r w:rsidRPr="00B862DA" w:rsidR="00B862DA">
        <w:rPr>
          <w:lang w:val="en-GB"/>
        </w:rPr>
        <w:t>’</w:t>
      </w:r>
      <w:r w:rsidRPr="00B862DA" w:rsidR="0009344A">
        <w:rPr>
          <w:lang w:val="en-GB"/>
        </w:rPr>
        <w:t>s</w:t>
      </w:r>
      <w:r w:rsidRPr="00B862DA">
        <w:rPr>
          <w:lang w:val="en-GB"/>
        </w:rPr>
        <w:t xml:space="preserve"> rights under Article 8 but it is not, in itself, a breach of that provision (see </w:t>
      </w:r>
      <w:r w:rsidRPr="00B862DA">
        <w:rPr>
          <w:i/>
          <w:lang w:val="en-GB"/>
        </w:rPr>
        <w:t>Piechowicz v. Poland</w:t>
      </w:r>
      <w:r w:rsidRPr="00B862DA">
        <w:rPr>
          <w:lang w:val="en-GB"/>
        </w:rPr>
        <w:t>, no. 20071/07</w:t>
      </w:r>
      <w:r w:rsidRPr="00B862DA">
        <w:rPr>
          <w:snapToGrid w:val="0"/>
          <w:szCs w:val="24"/>
          <w:lang w:val="en-GB"/>
        </w:rPr>
        <w:t>, § 212, 17 April 2012</w:t>
      </w:r>
      <w:r w:rsidRPr="00B862DA">
        <w:rPr>
          <w:lang w:val="en-GB"/>
        </w:rPr>
        <w:t>).</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24</w:t>
      </w:r>
      <w:r w:rsidRPr="00B862DA">
        <w:rPr>
          <w:lang w:val="en-GB"/>
        </w:rPr>
        <w:fldChar w:fldCharType="end"/>
      </w:r>
      <w:r w:rsidRPr="00B862DA">
        <w:rPr>
          <w:lang w:val="en-GB"/>
        </w:rPr>
        <w:t xml:space="preserve">.  A restriction under Article 8 of the Convention must be applied “in accordance with the law”, must pursue one or more of the legitimate aims listed in paragraph 2 and, in addition, must be justified as being “necessary in a democratic society” (see </w:t>
      </w:r>
      <w:r w:rsidRPr="00B862DA">
        <w:rPr>
          <w:i/>
          <w:lang w:val="en-GB"/>
        </w:rPr>
        <w:t>Piechowicz</w:t>
      </w:r>
      <w:r w:rsidRPr="00B862DA">
        <w:rPr>
          <w:lang w:val="en-GB"/>
        </w:rPr>
        <w:t>, cited above</w:t>
      </w:r>
      <w:r w:rsidRPr="00B862DA">
        <w:rPr>
          <w:snapToGrid w:val="0"/>
          <w:szCs w:val="24"/>
          <w:lang w:val="en-GB"/>
        </w:rPr>
        <w:t>, § 212</w:t>
      </w:r>
      <w:r w:rsidRPr="00B862DA">
        <w:rPr>
          <w:lang w:val="en-GB"/>
        </w:rPr>
        <w:t>).</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25</w:t>
      </w:r>
      <w:r w:rsidRPr="00B862DA">
        <w:rPr>
          <w:lang w:val="en-GB"/>
        </w:rPr>
        <w:fldChar w:fldCharType="end"/>
      </w:r>
      <w:r w:rsidRPr="00B862DA">
        <w:rPr>
          <w:lang w:val="en-GB"/>
        </w:rPr>
        <w:t xml:space="preserve">.  The Court notes that the wording “in accordance with the law” not only requires the impugned measure to have some basis in domestic law, but also relates to the quality of that law. The law must meet quality requirements: it must be accessible to the person concerned and foreseeable as to its effects (see, among many other authorities, </w:t>
      </w:r>
      <w:r w:rsidRPr="00B862DA">
        <w:rPr>
          <w:i/>
          <w:lang w:val="en-GB"/>
        </w:rPr>
        <w:t>Roman Zakharov</w:t>
      </w:r>
      <w:r w:rsidRPr="00B862DA">
        <w:rPr>
          <w:lang w:val="en-GB"/>
        </w:rPr>
        <w:t xml:space="preserve"> </w:t>
      </w:r>
      <w:r w:rsidRPr="00B862DA">
        <w:rPr>
          <w:i/>
          <w:lang w:val="en-GB"/>
        </w:rPr>
        <w:t>v.</w:t>
      </w:r>
      <w:r w:rsidRPr="00B862DA" w:rsidR="002545CA">
        <w:rPr>
          <w:i/>
          <w:lang w:val="en-GB"/>
        </w:rPr>
        <w:t> </w:t>
      </w:r>
      <w:r w:rsidRPr="00B862DA">
        <w:rPr>
          <w:i/>
          <w:lang w:val="en-GB"/>
        </w:rPr>
        <w:t xml:space="preserve">Russia </w:t>
      </w:r>
      <w:r w:rsidRPr="00B862DA">
        <w:rPr>
          <w:lang w:val="en-GB"/>
        </w:rPr>
        <w:t xml:space="preserve">[GC], no. 47143/06, § 228, ECHR 2015; </w:t>
      </w:r>
      <w:r w:rsidRPr="00B862DA">
        <w:rPr>
          <w:i/>
          <w:lang w:val="en-GB"/>
        </w:rPr>
        <w:t>Marper v. the United Kingdom</w:t>
      </w:r>
      <w:r w:rsidRPr="00B862DA">
        <w:rPr>
          <w:lang w:val="en-GB"/>
        </w:rPr>
        <w:t xml:space="preserve"> [GC], nos. 30562/04 and 30566/04, § 95, ECHR 2008;</w:t>
      </w:r>
      <w:r w:rsidRPr="00B862DA" w:rsidR="0009344A">
        <w:rPr>
          <w:lang w:val="en-GB"/>
        </w:rPr>
        <w:t xml:space="preserve"> and</w:t>
      </w:r>
      <w:r w:rsidRPr="00B862DA">
        <w:rPr>
          <w:lang w:val="en-GB"/>
        </w:rPr>
        <w:t xml:space="preserve"> </w:t>
      </w:r>
      <w:r w:rsidRPr="00B862DA" w:rsidR="002A7F2C">
        <w:rPr>
          <w:i/>
          <w:lang w:val="en-GB"/>
        </w:rPr>
        <w:t>Rotaru v. </w:t>
      </w:r>
      <w:r w:rsidRPr="00B862DA">
        <w:rPr>
          <w:i/>
          <w:lang w:val="en-GB"/>
        </w:rPr>
        <w:t xml:space="preserve">Romania </w:t>
      </w:r>
      <w:r w:rsidRPr="00B862DA">
        <w:rPr>
          <w:lang w:val="en-GB"/>
        </w:rPr>
        <w:t>[GC], no. 28341/95, § 52, ECHR 2000</w:t>
      </w:r>
      <w:r w:rsidRPr="00B862DA">
        <w:rPr>
          <w:lang w:val="en-GB"/>
        </w:rPr>
        <w:noBreakHyphen/>
        <w:t>V).</w:t>
      </w:r>
    </w:p>
    <w:p w:rsidRPr="00B862DA" w:rsidR="00224F9B" w:rsidP="00B862DA" w:rsidRDefault="00224F9B">
      <w:pPr>
        <w:pStyle w:val="ECHRPara"/>
        <w:rPr>
          <w:i/>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26</w:t>
      </w:r>
      <w:r w:rsidRPr="00B862DA">
        <w:rPr>
          <w:lang w:val="en-GB"/>
        </w:rPr>
        <w:fldChar w:fldCharType="end"/>
      </w:r>
      <w:r w:rsidRPr="00B862DA">
        <w:rPr>
          <w:lang w:val="en-GB"/>
        </w:rPr>
        <w:t xml:space="preserve">.  As regards the requirement of foreseeability, the Court reiterates that a rule is “foreseeable” if it is formulated with sufficient precision to enable any individual – if need be with appropriate advice – to regulate his conduct (see </w:t>
      </w:r>
      <w:r w:rsidRPr="00B862DA">
        <w:rPr>
          <w:i/>
          <w:lang w:val="en-GB"/>
        </w:rPr>
        <w:t>Rotaru</w:t>
      </w:r>
      <w:r w:rsidRPr="00B862DA">
        <w:rPr>
          <w:lang w:val="en-GB"/>
        </w:rPr>
        <w:t>, cited above, § 55).</w:t>
      </w:r>
    </w:p>
    <w:p w:rsidRPr="00B862DA" w:rsidR="00207618" w:rsidP="00B862DA" w:rsidRDefault="00207618">
      <w:pPr>
        <w:pStyle w:val="ECHRHeading4"/>
        <w:rPr>
          <w:lang w:val="en-GB"/>
        </w:rPr>
      </w:pPr>
      <w:r w:rsidRPr="00B862DA">
        <w:rPr>
          <w:lang w:val="en-GB"/>
        </w:rPr>
        <w:t>(</w:t>
      </w:r>
      <w:r w:rsidRPr="00B862DA" w:rsidR="00EE76EC">
        <w:rPr>
          <w:lang w:val="en-GB"/>
        </w:rPr>
        <w:t>b</w:t>
      </w:r>
      <w:r w:rsidRPr="00B862DA">
        <w:rPr>
          <w:lang w:val="en-GB"/>
        </w:rPr>
        <w:t>)  Application of the principles to the present case</w:t>
      </w:r>
    </w:p>
    <w:p w:rsidRPr="00B862DA" w:rsidR="00207618" w:rsidP="00B862DA" w:rsidRDefault="00207618">
      <w:pPr>
        <w:pStyle w:val="ECHRHeading5"/>
        <w:rPr>
          <w:lang w:val="en-GB"/>
        </w:rPr>
      </w:pPr>
      <w:r w:rsidRPr="00B862DA">
        <w:rPr>
          <w:lang w:val="en-GB"/>
        </w:rPr>
        <w:t>(i)  Interference</w:t>
      </w:r>
    </w:p>
    <w:p w:rsidRPr="00B862DA" w:rsidR="00AC7A4A"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27</w:t>
      </w:r>
      <w:r w:rsidRPr="00B862DA">
        <w:rPr>
          <w:lang w:val="en-GB"/>
        </w:rPr>
        <w:fldChar w:fldCharType="end"/>
      </w:r>
      <w:r w:rsidRPr="00B862DA">
        <w:rPr>
          <w:lang w:val="en-GB"/>
        </w:rPr>
        <w:t xml:space="preserve">.  The Court observes that the Government may be understood as disputing the existence of any “interference” owing to the fact that the applicant did not provide </w:t>
      </w:r>
      <w:r w:rsidRPr="00B862DA" w:rsidR="0009344A">
        <w:rPr>
          <w:lang w:val="en-GB"/>
        </w:rPr>
        <w:t xml:space="preserve">the </w:t>
      </w:r>
      <w:r w:rsidRPr="00B862DA">
        <w:rPr>
          <w:lang w:val="en-GB"/>
        </w:rPr>
        <w:t>personal details of</w:t>
      </w:r>
      <w:r w:rsidRPr="00B862DA" w:rsidR="0009344A">
        <w:rPr>
          <w:lang w:val="en-GB"/>
        </w:rPr>
        <w:t xml:space="preserve"> the</w:t>
      </w:r>
      <w:r w:rsidRPr="00B862DA">
        <w:rPr>
          <w:lang w:val="en-GB"/>
        </w:rPr>
        <w:t xml:space="preserve"> relatives wi</w:t>
      </w:r>
      <w:r w:rsidRPr="00B862DA" w:rsidR="0009344A">
        <w:rPr>
          <w:lang w:val="en-GB"/>
        </w:rPr>
        <w:t>sh</w:t>
      </w:r>
      <w:r w:rsidRPr="00B862DA">
        <w:rPr>
          <w:lang w:val="en-GB"/>
        </w:rPr>
        <w:t>ing to visit him and thus made a</w:t>
      </w:r>
      <w:r w:rsidRPr="00B862DA" w:rsidR="0009344A">
        <w:rPr>
          <w:lang w:val="en-GB"/>
        </w:rPr>
        <w:t>n</w:t>
      </w:r>
      <w:r w:rsidRPr="00B862DA">
        <w:rPr>
          <w:lang w:val="en-GB"/>
        </w:rPr>
        <w:t xml:space="preserve"> </w:t>
      </w:r>
      <w:r w:rsidRPr="00B862DA" w:rsidR="0009344A">
        <w:rPr>
          <w:lang w:val="en-GB"/>
        </w:rPr>
        <w:t xml:space="preserve">essentially </w:t>
      </w:r>
      <w:r w:rsidRPr="00B862DA">
        <w:rPr>
          <w:lang w:val="en-GB"/>
        </w:rPr>
        <w:t>fictitious request.</w:t>
      </w:r>
    </w:p>
    <w:p w:rsidRPr="00B862DA" w:rsidR="00AC7A4A"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28</w:t>
      </w:r>
      <w:r w:rsidRPr="00B862DA">
        <w:rPr>
          <w:lang w:val="en-GB"/>
        </w:rPr>
        <w:fldChar w:fldCharType="end"/>
      </w:r>
      <w:r w:rsidRPr="00B862DA">
        <w:rPr>
          <w:lang w:val="en-GB"/>
        </w:rPr>
        <w:t>.  However, the Court finds no reason to consider that the applicant</w:t>
      </w:r>
      <w:r w:rsidRPr="00B862DA" w:rsidR="00B862DA">
        <w:rPr>
          <w:lang w:val="en-GB"/>
        </w:rPr>
        <w:t>’</w:t>
      </w:r>
      <w:r w:rsidRPr="00B862DA">
        <w:rPr>
          <w:lang w:val="en-GB"/>
        </w:rPr>
        <w:t xml:space="preserve">s wish to be visited by a family member was not genuine. The applicant sought legal advice </w:t>
      </w:r>
      <w:r w:rsidRPr="00B862DA" w:rsidR="0009344A">
        <w:rPr>
          <w:lang w:val="en-GB"/>
        </w:rPr>
        <w:t xml:space="preserve">promptly </w:t>
      </w:r>
      <w:r w:rsidRPr="00B862DA">
        <w:rPr>
          <w:lang w:val="en-GB"/>
        </w:rPr>
        <w:t xml:space="preserve">after release and maintained his complaint </w:t>
      </w:r>
      <w:r w:rsidRPr="00B862DA" w:rsidR="0009344A">
        <w:rPr>
          <w:lang w:val="en-GB"/>
        </w:rPr>
        <w:t>concern</w:t>
      </w:r>
      <w:r w:rsidRPr="00B862DA">
        <w:rPr>
          <w:lang w:val="en-GB"/>
        </w:rPr>
        <w:t>ing t</w:t>
      </w:r>
      <w:r w:rsidRPr="00B862DA" w:rsidR="0009344A">
        <w:rPr>
          <w:lang w:val="en-GB"/>
        </w:rPr>
        <w:t>he</w:t>
      </w:r>
      <w:r w:rsidRPr="00B862DA">
        <w:rPr>
          <w:lang w:val="en-GB"/>
        </w:rPr>
        <w:t xml:space="preserve"> restriction on family visits before the domestic courts. Besides, the refusal issued by the acting head of the detention unit </w:t>
      </w:r>
      <w:r w:rsidRPr="00B862DA" w:rsidR="0009344A">
        <w:rPr>
          <w:lang w:val="en-GB"/>
        </w:rPr>
        <w:t>had been</w:t>
      </w:r>
      <w:r w:rsidRPr="00B862DA">
        <w:rPr>
          <w:lang w:val="en-GB"/>
        </w:rPr>
        <w:t xml:space="preserve"> unconditional and the applicant </w:t>
      </w:r>
      <w:r w:rsidRPr="00B862DA" w:rsidR="002902E5">
        <w:rPr>
          <w:lang w:val="en-GB"/>
        </w:rPr>
        <w:t xml:space="preserve">had </w:t>
      </w:r>
      <w:r w:rsidRPr="00B862DA">
        <w:rPr>
          <w:lang w:val="en-GB"/>
        </w:rPr>
        <w:t xml:space="preserve">not </w:t>
      </w:r>
      <w:r w:rsidRPr="00B862DA" w:rsidR="0009344A">
        <w:rPr>
          <w:lang w:val="en-GB"/>
        </w:rPr>
        <w:t xml:space="preserve">been </w:t>
      </w:r>
      <w:r w:rsidRPr="00B862DA">
        <w:rPr>
          <w:lang w:val="en-GB"/>
        </w:rPr>
        <w:t>asked to provide any specific information about his relatives.</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29</w:t>
      </w:r>
      <w:r w:rsidRPr="00B862DA">
        <w:rPr>
          <w:lang w:val="en-GB"/>
        </w:rPr>
        <w:fldChar w:fldCharType="end"/>
      </w:r>
      <w:r w:rsidRPr="00B862DA">
        <w:rPr>
          <w:lang w:val="en-GB"/>
        </w:rPr>
        <w:t>.  Accordingly, there has been an interference with the applicant</w:t>
      </w:r>
      <w:r w:rsidRPr="00B862DA" w:rsidR="00B862DA">
        <w:rPr>
          <w:lang w:val="en-GB"/>
        </w:rPr>
        <w:t>’</w:t>
      </w:r>
      <w:r w:rsidRPr="00B862DA">
        <w:rPr>
          <w:lang w:val="en-GB"/>
        </w:rPr>
        <w:t>s rights under Article 8.</w:t>
      </w:r>
    </w:p>
    <w:p w:rsidRPr="00B862DA" w:rsidR="00207618" w:rsidP="00B862DA" w:rsidRDefault="00207618">
      <w:pPr>
        <w:pStyle w:val="ECHRHeading5"/>
        <w:rPr>
          <w:lang w:val="en-GB"/>
        </w:rPr>
      </w:pPr>
      <w:r w:rsidRPr="00B862DA">
        <w:rPr>
          <w:lang w:val="en-GB"/>
        </w:rPr>
        <w:t>(ii)  Whether the interference was prescribed by law</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30</w:t>
      </w:r>
      <w:r w:rsidRPr="00B862DA">
        <w:rPr>
          <w:lang w:val="en-GB"/>
        </w:rPr>
        <w:fldChar w:fldCharType="end"/>
      </w:r>
      <w:r w:rsidRPr="00B862DA">
        <w:rPr>
          <w:lang w:val="en-GB"/>
        </w:rPr>
        <w:t xml:space="preserve">.  The Court notes that the Russian law in force at the time of the events of the present case </w:t>
      </w:r>
      <w:r w:rsidRPr="00B862DA" w:rsidR="0009344A">
        <w:rPr>
          <w:lang w:val="en-GB"/>
        </w:rPr>
        <w:t xml:space="preserve">imposed </w:t>
      </w:r>
      <w:r w:rsidRPr="00B862DA">
        <w:rPr>
          <w:lang w:val="en-GB"/>
        </w:rPr>
        <w:t xml:space="preserve">no express restriction on family visits for administrative </w:t>
      </w:r>
      <w:r w:rsidRPr="00B862DA" w:rsidR="0017480B">
        <w:rPr>
          <w:lang w:val="en-GB"/>
        </w:rPr>
        <w:t>detain</w:t>
      </w:r>
      <w:r w:rsidRPr="00B862DA">
        <w:rPr>
          <w:lang w:val="en-GB"/>
        </w:rPr>
        <w:t>ees (see paragraph 15 above).</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31</w:t>
      </w:r>
      <w:r w:rsidRPr="00B862DA">
        <w:rPr>
          <w:lang w:val="en-GB"/>
        </w:rPr>
        <w:fldChar w:fldCharType="end"/>
      </w:r>
      <w:r w:rsidRPr="00B862DA">
        <w:rPr>
          <w:lang w:val="en-GB"/>
        </w:rPr>
        <w:t xml:space="preserve">.  At the same time, Russian law did not contain any legal provision laying down </w:t>
      </w:r>
      <w:r w:rsidRPr="00B862DA" w:rsidR="0009344A">
        <w:rPr>
          <w:lang w:val="en-GB"/>
        </w:rPr>
        <w:t xml:space="preserve">the </w:t>
      </w:r>
      <w:r w:rsidRPr="00B862DA">
        <w:rPr>
          <w:lang w:val="en-GB"/>
        </w:rPr>
        <w:t xml:space="preserve">conditions </w:t>
      </w:r>
      <w:r w:rsidRPr="00B862DA" w:rsidR="0009344A">
        <w:rPr>
          <w:lang w:val="en-GB"/>
        </w:rPr>
        <w:t xml:space="preserve">subject to </w:t>
      </w:r>
      <w:r w:rsidRPr="00B862DA">
        <w:rPr>
          <w:lang w:val="en-GB"/>
        </w:rPr>
        <w:t xml:space="preserve">which a request for a family visit could be granted and setting </w:t>
      </w:r>
      <w:r w:rsidRPr="00B862DA" w:rsidR="0009344A">
        <w:rPr>
          <w:lang w:val="en-GB"/>
        </w:rPr>
        <w:t xml:space="preserve">out the </w:t>
      </w:r>
      <w:r w:rsidRPr="00B862DA">
        <w:rPr>
          <w:lang w:val="en-GB"/>
        </w:rPr>
        <w:t xml:space="preserve">procedural requirements for such a request. </w:t>
      </w:r>
      <w:r w:rsidRPr="00B862DA" w:rsidR="00A94055">
        <w:rPr>
          <w:lang w:val="en-GB"/>
        </w:rPr>
        <w:t>Nor was t</w:t>
      </w:r>
      <w:r w:rsidRPr="00B862DA">
        <w:rPr>
          <w:lang w:val="en-GB"/>
        </w:rPr>
        <w:t>he Court presented with any evidence suggesting that there was an</w:t>
      </w:r>
      <w:r w:rsidRPr="00B862DA" w:rsidR="00A94055">
        <w:rPr>
          <w:lang w:val="en-GB"/>
        </w:rPr>
        <w:t>y</w:t>
      </w:r>
      <w:r w:rsidRPr="00B862DA">
        <w:rPr>
          <w:lang w:val="en-GB"/>
        </w:rPr>
        <w:t xml:space="preserve"> established practice in Russia</w:t>
      </w:r>
      <w:r w:rsidRPr="00B862DA" w:rsidR="00DF4684">
        <w:rPr>
          <w:lang w:val="en-GB"/>
        </w:rPr>
        <w:t xml:space="preserve"> regulating conditions for organising family meetings and</w:t>
      </w:r>
      <w:r w:rsidRPr="00B862DA">
        <w:rPr>
          <w:lang w:val="en-GB"/>
        </w:rPr>
        <w:t xml:space="preserve"> requiring </w:t>
      </w:r>
      <w:r w:rsidRPr="00B862DA" w:rsidR="0017480B">
        <w:rPr>
          <w:lang w:val="en-GB"/>
        </w:rPr>
        <w:t>detain</w:t>
      </w:r>
      <w:r w:rsidRPr="00B862DA">
        <w:rPr>
          <w:lang w:val="en-GB"/>
        </w:rPr>
        <w:t xml:space="preserve">ees to provide any specific information, such as </w:t>
      </w:r>
      <w:r w:rsidRPr="00B862DA" w:rsidR="00A94055">
        <w:rPr>
          <w:lang w:val="en-GB"/>
        </w:rPr>
        <w:t xml:space="preserve">the </w:t>
      </w:r>
      <w:r w:rsidRPr="00B862DA">
        <w:rPr>
          <w:lang w:val="en-GB"/>
        </w:rPr>
        <w:t>personal details of their relatives.</w:t>
      </w:r>
    </w:p>
    <w:p w:rsidRPr="00B862DA" w:rsidR="00426EFC" w:rsidP="00B862DA" w:rsidRDefault="00426EFC">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32</w:t>
      </w:r>
      <w:r w:rsidRPr="00B862DA">
        <w:rPr>
          <w:lang w:val="en-GB"/>
        </w:rPr>
        <w:fldChar w:fldCharType="end"/>
      </w:r>
      <w:r w:rsidRPr="00B862DA">
        <w:rPr>
          <w:lang w:val="en-GB"/>
        </w:rPr>
        <w:t>.  </w:t>
      </w:r>
      <w:r w:rsidRPr="00B862DA" w:rsidR="00224F9B">
        <w:rPr>
          <w:lang w:val="en-GB"/>
        </w:rPr>
        <w:t>Consequently, it is not possible to establish that the interference with the applicant</w:t>
      </w:r>
      <w:r w:rsidRPr="00B862DA" w:rsidR="00B862DA">
        <w:rPr>
          <w:lang w:val="en-GB"/>
        </w:rPr>
        <w:t>’</w:t>
      </w:r>
      <w:r w:rsidRPr="00B862DA" w:rsidR="00224F9B">
        <w:rPr>
          <w:lang w:val="en-GB"/>
        </w:rPr>
        <w:t xml:space="preserve">s right in the present case was based on </w:t>
      </w:r>
      <w:r w:rsidRPr="00B862DA" w:rsidR="00CB0EAD">
        <w:rPr>
          <w:lang w:val="en-GB"/>
        </w:rPr>
        <w:t xml:space="preserve">a </w:t>
      </w:r>
      <w:r w:rsidRPr="00B862DA" w:rsidR="00224F9B">
        <w:rPr>
          <w:lang w:val="en-GB"/>
        </w:rPr>
        <w:t>law</w:t>
      </w:r>
      <w:r w:rsidRPr="00B862DA" w:rsidR="00CB0EAD">
        <w:rPr>
          <w:lang w:val="en-GB"/>
        </w:rPr>
        <w:t xml:space="preserve"> that was</w:t>
      </w:r>
      <w:r w:rsidRPr="00B862DA" w:rsidR="00224F9B">
        <w:rPr>
          <w:lang w:val="en-GB"/>
        </w:rPr>
        <w:t xml:space="preserve"> formulated with sufficient precision.</w:t>
      </w:r>
    </w:p>
    <w:p w:rsidRPr="00B862DA" w:rsidR="00AC7A4A" w:rsidP="00B862DA" w:rsidRDefault="006B435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33</w:t>
      </w:r>
      <w:r w:rsidRPr="00B862DA">
        <w:rPr>
          <w:lang w:val="en-GB"/>
        </w:rPr>
        <w:fldChar w:fldCharType="end"/>
      </w:r>
      <w:r w:rsidRPr="00B862DA">
        <w:rPr>
          <w:lang w:val="en-GB"/>
        </w:rPr>
        <w:t>.  </w:t>
      </w:r>
      <w:r w:rsidRPr="00B862DA" w:rsidR="00224F9B">
        <w:rPr>
          <w:lang w:val="en-GB"/>
        </w:rPr>
        <w:t>The Court accordingly concludes that the interference with the applicant</w:t>
      </w:r>
      <w:r w:rsidRPr="00B862DA" w:rsidR="00B862DA">
        <w:rPr>
          <w:lang w:val="en-GB"/>
        </w:rPr>
        <w:t>’</w:t>
      </w:r>
      <w:r w:rsidRPr="00B862DA" w:rsidR="00224F9B">
        <w:rPr>
          <w:lang w:val="en-GB"/>
        </w:rPr>
        <w:t xml:space="preserve">s right was not in accordance with the law within the meaning of Article 8 § 2 of the Convention. Consequently, there </w:t>
      </w:r>
      <w:r w:rsidRPr="00B862DA" w:rsidR="002A7F2C">
        <w:rPr>
          <w:lang w:val="en-GB"/>
        </w:rPr>
        <w:t>has been a violation of Article </w:t>
      </w:r>
      <w:r w:rsidRPr="00B862DA" w:rsidR="00224F9B">
        <w:rPr>
          <w:lang w:val="en-GB"/>
        </w:rPr>
        <w:t>8.</w:t>
      </w:r>
    </w:p>
    <w:p w:rsidRPr="00B862DA" w:rsidR="006B435B" w:rsidP="00B862DA" w:rsidRDefault="00E53F69">
      <w:pPr>
        <w:pStyle w:val="ECHRPara"/>
        <w:rPr>
          <w:i/>
          <w:szCs w:val="24"/>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34</w:t>
      </w:r>
      <w:r w:rsidRPr="00B862DA">
        <w:rPr>
          <w:lang w:val="en-GB"/>
        </w:rPr>
        <w:fldChar w:fldCharType="end"/>
      </w:r>
      <w:r w:rsidRPr="00B862DA">
        <w:rPr>
          <w:lang w:val="en-GB"/>
        </w:rPr>
        <w:t>.  </w:t>
      </w:r>
      <w:r w:rsidRPr="00B862DA" w:rsidR="00CB0EAD">
        <w:rPr>
          <w:lang w:val="en-GB"/>
        </w:rPr>
        <w:t>In the light of</w:t>
      </w:r>
      <w:r w:rsidRPr="00B862DA" w:rsidR="006B435B">
        <w:rPr>
          <w:lang w:val="en-GB"/>
        </w:rPr>
        <w:t xml:space="preserve"> this conclusion, the Court does not consider it necessary to review compliance with the </w:t>
      </w:r>
      <w:r w:rsidRPr="00B862DA" w:rsidR="00224F9B">
        <w:rPr>
          <w:lang w:val="en-GB"/>
        </w:rPr>
        <w:t>remaining</w:t>
      </w:r>
      <w:r w:rsidRPr="00B862DA" w:rsidR="006B435B">
        <w:rPr>
          <w:lang w:val="en-GB"/>
        </w:rPr>
        <w:t xml:space="preserve"> requirements of Article</w:t>
      </w:r>
      <w:r w:rsidRPr="00B862DA" w:rsidR="00224F9B">
        <w:rPr>
          <w:lang w:val="en-GB"/>
        </w:rPr>
        <w:t> </w:t>
      </w:r>
      <w:r w:rsidRPr="00B862DA" w:rsidR="002A7F2C">
        <w:rPr>
          <w:lang w:val="en-GB"/>
        </w:rPr>
        <w:t>8 § </w:t>
      </w:r>
      <w:r w:rsidRPr="00B862DA" w:rsidR="006B435B">
        <w:rPr>
          <w:lang w:val="en-GB"/>
        </w:rPr>
        <w:t xml:space="preserve">2 in this case (see </w:t>
      </w:r>
      <w:r w:rsidRPr="00B862DA" w:rsidR="006B435B">
        <w:rPr>
          <w:i/>
          <w:lang w:val="en-GB"/>
        </w:rPr>
        <w:t>Petrova v. Latvia</w:t>
      </w:r>
      <w:r w:rsidRPr="00B862DA" w:rsidR="006B435B">
        <w:rPr>
          <w:lang w:val="en-GB"/>
        </w:rPr>
        <w:t>, no. 4605/05</w:t>
      </w:r>
      <w:r w:rsidRPr="00B862DA" w:rsidR="006B435B">
        <w:rPr>
          <w:snapToGrid w:val="0"/>
          <w:lang w:val="en-GB"/>
        </w:rPr>
        <w:t xml:space="preserve">, § 98, </w:t>
      </w:r>
      <w:r w:rsidRPr="00B862DA" w:rsidR="006B435B">
        <w:rPr>
          <w:lang w:val="en-GB"/>
        </w:rPr>
        <w:t>24</w:t>
      </w:r>
      <w:r w:rsidRPr="00B862DA" w:rsidR="00224F9B">
        <w:rPr>
          <w:lang w:val="en-GB"/>
        </w:rPr>
        <w:t> </w:t>
      </w:r>
      <w:r w:rsidRPr="00B862DA" w:rsidR="006B435B">
        <w:rPr>
          <w:snapToGrid w:val="0"/>
          <w:lang w:val="en-GB"/>
        </w:rPr>
        <w:t>June</w:t>
      </w:r>
      <w:r w:rsidRPr="00B862DA" w:rsidR="00224F9B">
        <w:rPr>
          <w:snapToGrid w:val="0"/>
          <w:lang w:val="en-GB"/>
        </w:rPr>
        <w:t> </w:t>
      </w:r>
      <w:r w:rsidRPr="00B862DA" w:rsidR="006B435B">
        <w:rPr>
          <w:snapToGrid w:val="0"/>
          <w:lang w:val="en-GB"/>
        </w:rPr>
        <w:t>2014</w:t>
      </w:r>
      <w:r w:rsidRPr="00B862DA" w:rsidR="006B435B">
        <w:rPr>
          <w:lang w:val="en-GB"/>
        </w:rPr>
        <w:t>).</w:t>
      </w:r>
    </w:p>
    <w:p w:rsidRPr="00B862DA" w:rsidR="00014566" w:rsidP="00B862DA" w:rsidRDefault="00657A6B">
      <w:pPr>
        <w:pStyle w:val="ECHRHeading1"/>
        <w:rPr>
          <w:lang w:val="en-GB"/>
        </w:rPr>
      </w:pPr>
      <w:r w:rsidRPr="00B862DA">
        <w:rPr>
          <w:lang w:val="en-GB"/>
        </w:rPr>
        <w:t>II</w:t>
      </w:r>
      <w:r w:rsidRPr="00B862DA" w:rsidR="00014566">
        <w:rPr>
          <w:lang w:val="en-GB"/>
        </w:rPr>
        <w:t xml:space="preserve">.  ALLEGED VIOLATION OF ARTICLE </w:t>
      </w:r>
      <w:r w:rsidRPr="00B862DA">
        <w:rPr>
          <w:lang w:val="en-GB"/>
        </w:rPr>
        <w:t>6</w:t>
      </w:r>
      <w:r w:rsidRPr="00B862DA" w:rsidR="00014566">
        <w:rPr>
          <w:lang w:val="en-GB"/>
        </w:rPr>
        <w:t xml:space="preserve"> </w:t>
      </w:r>
      <w:r w:rsidRPr="00B862DA" w:rsidR="00C62ADA">
        <w:rPr>
          <w:lang w:val="en-GB"/>
        </w:rPr>
        <w:t xml:space="preserve">§ 1 </w:t>
      </w:r>
      <w:r w:rsidRPr="00B862DA" w:rsidR="00014566">
        <w:rPr>
          <w:lang w:val="en-GB"/>
        </w:rPr>
        <w:t>OF THE CONVENTION</w:t>
      </w:r>
    </w:p>
    <w:p w:rsidRPr="00B862DA" w:rsidR="00AC7A4A"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35</w:t>
      </w:r>
      <w:r w:rsidRPr="00B862DA">
        <w:rPr>
          <w:lang w:val="en-GB"/>
        </w:rPr>
        <w:fldChar w:fldCharType="end"/>
      </w:r>
      <w:r w:rsidRPr="00B862DA">
        <w:rPr>
          <w:lang w:val="en-GB"/>
        </w:rPr>
        <w:t>.  The applicant complained under Article 6 § 1 of the Convention that the court proceedings had been unfair in that the domestic courts had incorrectly assessed the facts and had misinterpreted the domestic law.</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36</w:t>
      </w:r>
      <w:r w:rsidRPr="00B862DA">
        <w:rPr>
          <w:lang w:val="en-GB"/>
        </w:rPr>
        <w:fldChar w:fldCharType="end"/>
      </w:r>
      <w:r w:rsidRPr="00B862DA">
        <w:rPr>
          <w:lang w:val="en-GB"/>
        </w:rPr>
        <w:t>.  Article 6 § 1, insofar as relevant, reads as follows:</w:t>
      </w:r>
    </w:p>
    <w:p w:rsidRPr="00B862DA" w:rsidR="00224F9B" w:rsidP="00B862DA" w:rsidRDefault="00224F9B">
      <w:pPr>
        <w:pStyle w:val="ECHRParaQuote"/>
        <w:rPr>
          <w:lang w:val="en-GB"/>
        </w:rPr>
      </w:pPr>
      <w:r w:rsidRPr="00B862DA">
        <w:rPr>
          <w:lang w:val="en-GB"/>
        </w:rPr>
        <w:t>“In the determination of his civil rights and obligations ... everyone is entitled to a fair ... hearing ... by [a] ... tribunal ...”</w:t>
      </w:r>
    </w:p>
    <w:p w:rsidRPr="00B862DA" w:rsidR="00224F9B" w:rsidP="00B862DA" w:rsidRDefault="00224F9B">
      <w:pPr>
        <w:pStyle w:val="ECHRPara"/>
        <w:rPr>
          <w:i/>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37</w:t>
      </w:r>
      <w:r w:rsidRPr="00B862DA">
        <w:rPr>
          <w:lang w:val="en-GB"/>
        </w:rPr>
        <w:fldChar w:fldCharType="end"/>
      </w:r>
      <w:r w:rsidRPr="00B862DA">
        <w:rPr>
          <w:lang w:val="en-GB"/>
        </w:rPr>
        <w:t>.  The Court re</w:t>
      </w:r>
      <w:r w:rsidRPr="00B862DA" w:rsidR="00CB0EAD">
        <w:rPr>
          <w:lang w:val="en-GB"/>
        </w:rPr>
        <w:t>iterate</w:t>
      </w:r>
      <w:r w:rsidRPr="00B862DA">
        <w:rPr>
          <w:lang w:val="en-GB"/>
        </w:rPr>
        <w:t xml:space="preserve">s that it is not its function to deal with errors of fact or law allegedly committed by a national court unless and in so far as they may have infringed rights and freedoms protected by the Convention (see </w:t>
      </w:r>
      <w:r w:rsidRPr="00B862DA">
        <w:rPr>
          <w:i/>
          <w:lang w:val="en-GB"/>
        </w:rPr>
        <w:t>García Ruiz v. Spain</w:t>
      </w:r>
      <w:r w:rsidRPr="00B862DA">
        <w:rPr>
          <w:lang w:val="en-GB"/>
        </w:rPr>
        <w:t xml:space="preserve"> [GC], no. 30544/96, § 28, ECHR 1999</w:t>
      </w:r>
      <w:r w:rsidRPr="00B862DA">
        <w:rPr>
          <w:lang w:val="en-GB"/>
        </w:rPr>
        <w:noBreakHyphen/>
        <w:t>I).</w:t>
      </w:r>
      <w:r w:rsidRPr="00B862DA">
        <w:rPr>
          <w:snapToGrid w:val="0"/>
          <w:lang w:val="en-GB"/>
        </w:rPr>
        <w:t xml:space="preserve"> </w:t>
      </w:r>
      <w:r w:rsidRPr="00B862DA" w:rsidR="00CB0EAD">
        <w:rPr>
          <w:snapToGrid w:val="0"/>
          <w:lang w:val="en-GB"/>
        </w:rPr>
        <w:t>Nor</w:t>
      </w:r>
      <w:r w:rsidRPr="00B862DA">
        <w:rPr>
          <w:snapToGrid w:val="0"/>
          <w:lang w:val="en-GB"/>
        </w:rPr>
        <w:t xml:space="preserve"> is</w:t>
      </w:r>
      <w:r w:rsidRPr="00B862DA" w:rsidR="00CB0EAD">
        <w:rPr>
          <w:snapToGrid w:val="0"/>
          <w:lang w:val="en-GB"/>
        </w:rPr>
        <w:t xml:space="preserve"> it</w:t>
      </w:r>
      <w:r w:rsidRPr="00B862DA">
        <w:rPr>
          <w:snapToGrid w:val="0"/>
          <w:lang w:val="en-GB"/>
        </w:rPr>
        <w:t xml:space="preserve"> for the Court to question the authorities</w:t>
      </w:r>
      <w:r w:rsidRPr="00B862DA" w:rsidR="00B862DA">
        <w:rPr>
          <w:snapToGrid w:val="0"/>
          <w:lang w:val="en-GB"/>
        </w:rPr>
        <w:t>’</w:t>
      </w:r>
      <w:r w:rsidRPr="00B862DA">
        <w:rPr>
          <w:snapToGrid w:val="0"/>
          <w:lang w:val="en-GB"/>
        </w:rPr>
        <w:t xml:space="preserve"> interpretation of their own laws </w:t>
      </w:r>
      <w:r w:rsidRPr="00B862DA">
        <w:rPr>
          <w:lang w:val="en-GB"/>
        </w:rPr>
        <w:t xml:space="preserve">unless there has been a flagrant violation of domestic law </w:t>
      </w:r>
      <w:r w:rsidRPr="00B862DA">
        <w:rPr>
          <w:snapToGrid w:val="0"/>
          <w:lang w:val="en-GB"/>
        </w:rPr>
        <w:t xml:space="preserve">(see </w:t>
      </w:r>
      <w:r w:rsidRPr="00B862DA">
        <w:rPr>
          <w:i/>
          <w:lang w:val="en-GB"/>
        </w:rPr>
        <w:t>DMD GROUP, a.s., v. Slovakia</w:t>
      </w:r>
      <w:r w:rsidRPr="00B862DA">
        <w:rPr>
          <w:lang w:val="en-GB"/>
        </w:rPr>
        <w:t>, no. 19334/03</w:t>
      </w:r>
      <w:r w:rsidRPr="00B862DA">
        <w:rPr>
          <w:snapToGrid w:val="0"/>
          <w:szCs w:val="24"/>
          <w:lang w:val="en-GB"/>
        </w:rPr>
        <w:t>, § 61, 5 October 2010</w:t>
      </w:r>
      <w:r w:rsidRPr="00B862DA">
        <w:rPr>
          <w:snapToGrid w:val="0"/>
          <w:lang w:val="en-GB"/>
        </w:rPr>
        <w:t>).</w:t>
      </w:r>
    </w:p>
    <w:p w:rsidRPr="00B862DA" w:rsidR="00224F9B" w:rsidP="00B862DA" w:rsidRDefault="00224F9B">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38</w:t>
      </w:r>
      <w:r w:rsidRPr="00B862DA">
        <w:rPr>
          <w:lang w:val="en-GB"/>
        </w:rPr>
        <w:fldChar w:fldCharType="end"/>
      </w:r>
      <w:r w:rsidRPr="00B862DA">
        <w:rPr>
          <w:lang w:val="en-GB"/>
        </w:rPr>
        <w:t xml:space="preserve">.  In the present case the domestic proceedings were not tainted with flagrant unfairness. </w:t>
      </w:r>
      <w:r w:rsidRPr="00B862DA">
        <w:t>Accordingly, this complaint is manifestly ill-founded and must be rejected pursuant to Article 35 §§ 3 (a) and 4 of the Convention.</w:t>
      </w:r>
    </w:p>
    <w:p w:rsidRPr="00B862DA" w:rsidR="00014566" w:rsidP="00B862DA" w:rsidRDefault="002E63D1">
      <w:pPr>
        <w:pStyle w:val="ECHRHeading1"/>
        <w:rPr>
          <w:lang w:val="en-GB"/>
        </w:rPr>
      </w:pPr>
      <w:r w:rsidRPr="00B862DA">
        <w:rPr>
          <w:lang w:val="en-GB"/>
        </w:rPr>
        <w:t>III</w:t>
      </w:r>
      <w:r w:rsidRPr="00B862DA" w:rsidR="00014566">
        <w:rPr>
          <w:lang w:val="en-GB"/>
        </w:rPr>
        <w:t>.  APPLICATION OF ARTICLE 41 OF THE CONVENTION</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39</w:t>
      </w:r>
      <w:r w:rsidRPr="00B862DA">
        <w:rPr>
          <w:lang w:val="en-GB"/>
        </w:rPr>
        <w:fldChar w:fldCharType="end"/>
      </w:r>
      <w:r w:rsidRPr="00B862DA" w:rsidR="00014566">
        <w:rPr>
          <w:lang w:val="en-GB"/>
        </w:rPr>
        <w:t>.  Article 41 of the Convention provides:</w:t>
      </w:r>
    </w:p>
    <w:p w:rsidRPr="00B862DA" w:rsidR="00014566" w:rsidP="00B862DA" w:rsidRDefault="00014566">
      <w:pPr>
        <w:pStyle w:val="ECHRParaQuote"/>
        <w:keepNext/>
        <w:keepLines/>
        <w:rPr>
          <w:lang w:val="en-GB"/>
        </w:rPr>
      </w:pPr>
      <w:r w:rsidRPr="00B862DA">
        <w:rPr>
          <w:lang w:val="en-GB"/>
        </w:rPr>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B862DA" w:rsidR="00014566" w:rsidP="00B862DA" w:rsidRDefault="00014566">
      <w:pPr>
        <w:pStyle w:val="ECHRHeading2"/>
        <w:rPr>
          <w:lang w:val="en-GB"/>
        </w:rPr>
      </w:pPr>
      <w:r w:rsidRPr="00B862DA">
        <w:rPr>
          <w:lang w:val="en-GB"/>
        </w:rPr>
        <w:t>A.  Damage</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40</w:t>
      </w:r>
      <w:r w:rsidRPr="00B862DA">
        <w:rPr>
          <w:lang w:val="en-GB"/>
        </w:rPr>
        <w:fldChar w:fldCharType="end"/>
      </w:r>
      <w:r w:rsidRPr="00B862DA" w:rsidR="00014566">
        <w:rPr>
          <w:lang w:val="en-GB"/>
        </w:rPr>
        <w:t xml:space="preserve">.  The applicant claimed </w:t>
      </w:r>
      <w:r w:rsidRPr="00B862DA" w:rsidR="00B724AF">
        <w:rPr>
          <w:lang w:val="en-GB"/>
        </w:rPr>
        <w:t>1,000</w:t>
      </w:r>
      <w:r w:rsidRPr="00B862DA" w:rsidR="00014566">
        <w:rPr>
          <w:lang w:val="en-GB"/>
        </w:rPr>
        <w:t xml:space="preserve"> euros (EUR) in respect of non</w:t>
      </w:r>
      <w:r w:rsidRPr="00B862DA" w:rsidR="00CB0EAD">
        <w:rPr>
          <w:lang w:val="en-GB"/>
        </w:rPr>
        <w:noBreakHyphen/>
      </w:r>
      <w:r w:rsidRPr="00B862DA" w:rsidR="00014566">
        <w:rPr>
          <w:lang w:val="en-GB"/>
        </w:rPr>
        <w:t>pecuniary damage.</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41</w:t>
      </w:r>
      <w:r w:rsidRPr="00B862DA">
        <w:rPr>
          <w:lang w:val="en-GB"/>
        </w:rPr>
        <w:fldChar w:fldCharType="end"/>
      </w:r>
      <w:r w:rsidRPr="00B862DA" w:rsidR="00014566">
        <w:rPr>
          <w:lang w:val="en-GB"/>
        </w:rPr>
        <w:t xml:space="preserve">.  The Government </w:t>
      </w:r>
      <w:r w:rsidRPr="00B862DA" w:rsidR="00B724AF">
        <w:rPr>
          <w:lang w:val="en-GB"/>
        </w:rPr>
        <w:t>found the applicants</w:t>
      </w:r>
      <w:r w:rsidRPr="00B862DA" w:rsidR="00B862DA">
        <w:rPr>
          <w:lang w:val="en-GB"/>
        </w:rPr>
        <w:t>’</w:t>
      </w:r>
      <w:r w:rsidRPr="00B862DA" w:rsidR="00B724AF">
        <w:rPr>
          <w:lang w:val="en-GB"/>
        </w:rPr>
        <w:t xml:space="preserve"> claim excessive.</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42</w:t>
      </w:r>
      <w:r w:rsidRPr="00B862DA">
        <w:rPr>
          <w:lang w:val="en-GB"/>
        </w:rPr>
        <w:fldChar w:fldCharType="end"/>
      </w:r>
      <w:r w:rsidRPr="00B862DA" w:rsidR="00014566">
        <w:rPr>
          <w:lang w:val="en-GB"/>
        </w:rPr>
        <w:t>.  </w:t>
      </w:r>
      <w:r w:rsidRPr="00B862DA" w:rsidR="00F77AA8">
        <w:t>The Court considers that the applicant suff</w:t>
      </w:r>
      <w:r w:rsidRPr="00B862DA" w:rsidR="00B73F14">
        <w:t>ered non-pecuniary damage which will not be</w:t>
      </w:r>
      <w:r w:rsidRPr="00B862DA" w:rsidR="00F77AA8">
        <w:t xml:space="preserve"> sufficiently compensated by the finding of a violation of the Convention. Making an assessment on an equitable basis, the Court awards the applicant</w:t>
      </w:r>
      <w:r w:rsidRPr="00B862DA" w:rsidR="00081354">
        <w:rPr>
          <w:lang w:val="en-GB"/>
        </w:rPr>
        <w:t xml:space="preserve"> </w:t>
      </w:r>
      <w:r w:rsidRPr="00B862DA" w:rsidR="001111E1">
        <w:rPr>
          <w:lang w:val="en-GB"/>
        </w:rPr>
        <w:t>EUR 1,000 under this head</w:t>
      </w:r>
      <w:r w:rsidRPr="00B862DA" w:rsidR="008865A7">
        <w:t>, plus any tax that may be chargeable on that amount.</w:t>
      </w:r>
    </w:p>
    <w:p w:rsidRPr="00B862DA" w:rsidR="00014566" w:rsidP="00B862DA" w:rsidRDefault="00014566">
      <w:pPr>
        <w:pStyle w:val="ECHRHeading2"/>
        <w:rPr>
          <w:lang w:val="en-GB"/>
        </w:rPr>
      </w:pPr>
      <w:r w:rsidRPr="00B862DA">
        <w:rPr>
          <w:lang w:val="en-GB"/>
        </w:rPr>
        <w:t>B.  Costs and expenses</w:t>
      </w:r>
    </w:p>
    <w:p w:rsidRPr="00B862DA" w:rsidR="00E85C7D"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43</w:t>
      </w:r>
      <w:r w:rsidRPr="00B862DA">
        <w:rPr>
          <w:lang w:val="en-GB"/>
        </w:rPr>
        <w:fldChar w:fldCharType="end"/>
      </w:r>
      <w:r w:rsidRPr="00B862DA" w:rsidR="00014566">
        <w:rPr>
          <w:lang w:val="en-GB"/>
        </w:rPr>
        <w:t>.  The applicant also</w:t>
      </w:r>
      <w:r w:rsidRPr="00B862DA" w:rsidR="00962A35">
        <w:rPr>
          <w:lang w:val="en-GB"/>
        </w:rPr>
        <w:t xml:space="preserve"> claimed</w:t>
      </w:r>
      <w:r w:rsidRPr="00B862DA" w:rsidR="00014566">
        <w:rPr>
          <w:lang w:val="en-GB"/>
        </w:rPr>
        <w:t xml:space="preserve"> </w:t>
      </w:r>
      <w:r w:rsidRPr="00B862DA" w:rsidR="00962A35">
        <w:rPr>
          <w:lang w:val="en-GB"/>
        </w:rPr>
        <w:t>EUR 1,500 for costs and expenses</w:t>
      </w:r>
      <w:r w:rsidRPr="00B862DA" w:rsidR="00B73F14">
        <w:rPr>
          <w:lang w:val="en-GB"/>
        </w:rPr>
        <w:t xml:space="preserve"> comprising</w:t>
      </w:r>
      <w:r w:rsidRPr="00B862DA" w:rsidR="00975B66">
        <w:rPr>
          <w:lang w:val="en-GB"/>
        </w:rPr>
        <w:t xml:space="preserve"> official fees, postal services</w:t>
      </w:r>
      <w:r w:rsidRPr="00B862DA" w:rsidR="00962A35">
        <w:rPr>
          <w:lang w:val="en-GB"/>
        </w:rPr>
        <w:t xml:space="preserve"> </w:t>
      </w:r>
      <w:r w:rsidRPr="00B862DA" w:rsidR="00975B66">
        <w:rPr>
          <w:lang w:val="en-GB"/>
        </w:rPr>
        <w:t>and</w:t>
      </w:r>
      <w:r w:rsidRPr="00B862DA" w:rsidR="00962A35">
        <w:rPr>
          <w:lang w:val="en-GB"/>
        </w:rPr>
        <w:t xml:space="preserve"> a refund of 60,000 Russian roubles paid </w:t>
      </w:r>
      <w:r w:rsidRPr="00B862DA" w:rsidR="00F03286">
        <w:rPr>
          <w:lang w:val="en-GB"/>
        </w:rPr>
        <w:t>to</w:t>
      </w:r>
      <w:r w:rsidRPr="00B862DA" w:rsidR="00C65B3C">
        <w:rPr>
          <w:lang w:val="en-GB"/>
        </w:rPr>
        <w:t xml:space="preserve"> Mr</w:t>
      </w:r>
      <w:r w:rsidRPr="00B862DA" w:rsidR="00962A35">
        <w:rPr>
          <w:lang w:val="en-GB"/>
        </w:rPr>
        <w:t> </w:t>
      </w:r>
      <w:r w:rsidRPr="00B862DA" w:rsidR="00C65B3C">
        <w:rPr>
          <w:lang w:val="en-GB"/>
        </w:rPr>
        <w:t xml:space="preserve">Mezak </w:t>
      </w:r>
      <w:r w:rsidRPr="00B862DA" w:rsidR="00F03286">
        <w:rPr>
          <w:lang w:val="en-GB"/>
        </w:rPr>
        <w:t>for his services</w:t>
      </w:r>
      <w:r w:rsidRPr="00B862DA" w:rsidR="00C65B3C">
        <w:rPr>
          <w:lang w:val="en-GB"/>
        </w:rPr>
        <w:t>.</w:t>
      </w:r>
      <w:r w:rsidRPr="00B862DA" w:rsidR="00E85C7D">
        <w:rPr>
          <w:lang w:val="en-GB"/>
        </w:rPr>
        <w:t xml:space="preserve"> He submitted </w:t>
      </w:r>
      <w:r w:rsidRPr="00B862DA" w:rsidR="001D38A0">
        <w:rPr>
          <w:lang w:val="en-GB"/>
        </w:rPr>
        <w:t xml:space="preserve">two </w:t>
      </w:r>
      <w:r w:rsidRPr="00B862DA" w:rsidR="00E85C7D">
        <w:rPr>
          <w:lang w:val="en-GB"/>
        </w:rPr>
        <w:t xml:space="preserve">agency contracts, </w:t>
      </w:r>
      <w:r w:rsidRPr="00B862DA" w:rsidR="001D38A0">
        <w:rPr>
          <w:lang w:val="en-GB"/>
        </w:rPr>
        <w:t>bank statements</w:t>
      </w:r>
      <w:r w:rsidRPr="00B862DA" w:rsidR="005116AD">
        <w:rPr>
          <w:lang w:val="en-GB"/>
        </w:rPr>
        <w:t xml:space="preserve"> indicating several payments to Mr Mez</w:t>
      </w:r>
      <w:r w:rsidRPr="00B862DA" w:rsidR="00BF075F">
        <w:rPr>
          <w:lang w:val="en-GB"/>
        </w:rPr>
        <w:t>a</w:t>
      </w:r>
      <w:r w:rsidRPr="00B862DA" w:rsidR="005116AD">
        <w:rPr>
          <w:lang w:val="en-GB"/>
        </w:rPr>
        <w:t>k,</w:t>
      </w:r>
      <w:r w:rsidRPr="00B862DA" w:rsidR="001D38A0">
        <w:rPr>
          <w:lang w:val="en-GB"/>
        </w:rPr>
        <w:t xml:space="preserve"> and a </w:t>
      </w:r>
      <w:r w:rsidRPr="00B862DA" w:rsidR="00E85C7D">
        <w:t>copy of a receipt for postal services.</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44</w:t>
      </w:r>
      <w:r w:rsidRPr="00B862DA">
        <w:rPr>
          <w:lang w:val="en-GB"/>
        </w:rPr>
        <w:fldChar w:fldCharType="end"/>
      </w:r>
      <w:r w:rsidRPr="00B862DA" w:rsidR="00014566">
        <w:rPr>
          <w:lang w:val="en-GB"/>
        </w:rPr>
        <w:t>.  </w:t>
      </w:r>
      <w:r w:rsidRPr="00B862DA" w:rsidR="00CB0EAD">
        <w:rPr>
          <w:lang w:val="en-GB"/>
        </w:rPr>
        <w:t xml:space="preserve">The </w:t>
      </w:r>
      <w:r w:rsidRPr="00B862DA" w:rsidR="00962A35">
        <w:rPr>
          <w:lang w:val="en-GB"/>
        </w:rPr>
        <w:t>Government considered the claim to be excessive and groundless</w:t>
      </w:r>
      <w:r w:rsidRPr="00B862DA">
        <w:rPr>
          <w:lang w:val="en-GB"/>
        </w:rPr>
        <w:t>.</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45</w:t>
      </w:r>
      <w:r w:rsidRPr="00B862DA">
        <w:rPr>
          <w:lang w:val="en-GB"/>
        </w:rPr>
        <w:fldChar w:fldCharType="end"/>
      </w:r>
      <w:r w:rsidRPr="00B862DA" w:rsidR="00014566">
        <w:rPr>
          <w:lang w:val="en-GB"/>
        </w:rPr>
        <w:t>.  </w:t>
      </w:r>
      <w:r w:rsidRPr="00B862DA" w:rsidR="00962A35">
        <w:rPr>
          <w:lang w:val="en-GB"/>
        </w:rPr>
        <w:t xml:space="preserve">The Court notes that Mr Mezak did not seek leave to represent the applicant after </w:t>
      </w:r>
      <w:r w:rsidRPr="00B862DA" w:rsidR="00CB0EAD">
        <w:rPr>
          <w:lang w:val="en-GB"/>
        </w:rPr>
        <w:t>commu</w:t>
      </w:r>
      <w:r w:rsidRPr="00B862DA" w:rsidR="00962A35">
        <w:rPr>
          <w:lang w:val="en-GB"/>
        </w:rPr>
        <w:t>nication of the case to the Government, as he should have done in accordance with Rule 36 §§ 2 and 4 (a) of the Rules of Court.</w:t>
      </w:r>
      <w:r w:rsidRPr="00B862DA" w:rsidR="001D38A0">
        <w:rPr>
          <w:lang w:val="en-GB"/>
        </w:rPr>
        <w:t xml:space="preserve"> </w:t>
      </w:r>
      <w:r w:rsidRPr="00B862DA" w:rsidR="005116AD">
        <w:t>With regard</w:t>
      </w:r>
      <w:r w:rsidRPr="00B862DA" w:rsidR="001D38A0">
        <w:t xml:space="preserve"> to the circumstances of the case and the </w:t>
      </w:r>
      <w:r w:rsidRPr="00B862DA" w:rsidR="00CB0EAD">
        <w:t>parties</w:t>
      </w:r>
      <w:r w:rsidRPr="00B862DA" w:rsidR="00B862DA">
        <w:t>’</w:t>
      </w:r>
      <w:r w:rsidRPr="00B862DA" w:rsidR="00CB0EAD">
        <w:t xml:space="preserve"> </w:t>
      </w:r>
      <w:r w:rsidRPr="00B862DA" w:rsidR="001D38A0">
        <w:t>submissions, the Court awards the applicant EUR 3</w:t>
      </w:r>
      <w:r w:rsidRPr="00B862DA" w:rsidR="00D545BF">
        <w:t>, plus any tax that may be chargeable to the applicant on that amount,</w:t>
      </w:r>
      <w:r w:rsidRPr="00B862DA" w:rsidR="001D38A0">
        <w:t xml:space="preserve"> for proven postal expenses and dismisses the remainder of the claims under this head.</w:t>
      </w:r>
    </w:p>
    <w:p w:rsidRPr="00B862DA" w:rsidR="00014566" w:rsidP="00B862DA" w:rsidRDefault="00014566">
      <w:pPr>
        <w:pStyle w:val="ECHRHeading2"/>
        <w:rPr>
          <w:lang w:val="en-GB"/>
        </w:rPr>
      </w:pPr>
      <w:r w:rsidRPr="00B862DA">
        <w:rPr>
          <w:lang w:val="en-GB"/>
        </w:rPr>
        <w:t>C.  Default interest</w:t>
      </w:r>
    </w:p>
    <w:p w:rsidRPr="00B862DA" w:rsidR="00014566" w:rsidP="00B862DA" w:rsidRDefault="00723D72">
      <w:pPr>
        <w:pStyle w:val="ECHRPara"/>
        <w:rPr>
          <w:lang w:val="en-GB"/>
        </w:rPr>
      </w:pPr>
      <w:r w:rsidRPr="00B862DA">
        <w:rPr>
          <w:lang w:val="en-GB"/>
        </w:rPr>
        <w:fldChar w:fldCharType="begin"/>
      </w:r>
      <w:r w:rsidRPr="00B862DA">
        <w:rPr>
          <w:lang w:val="en-GB"/>
        </w:rPr>
        <w:instrText xml:space="preserve"> SEQ level0 \*arabic </w:instrText>
      </w:r>
      <w:r w:rsidRPr="00B862DA">
        <w:rPr>
          <w:lang w:val="en-GB"/>
        </w:rPr>
        <w:fldChar w:fldCharType="separate"/>
      </w:r>
      <w:r w:rsidRPr="00B862DA" w:rsidR="00B862DA">
        <w:rPr>
          <w:noProof/>
          <w:lang w:val="en-GB"/>
        </w:rPr>
        <w:t>46</w:t>
      </w:r>
      <w:r w:rsidRPr="00B862DA">
        <w:rPr>
          <w:lang w:val="en-GB"/>
        </w:rPr>
        <w:fldChar w:fldCharType="end"/>
      </w:r>
      <w:r w:rsidRPr="00B862DA" w:rsidR="00014566">
        <w:rPr>
          <w:lang w:val="en-GB"/>
        </w:rPr>
        <w:t>.  The Court considers it appropriate that the default interest rate should be based on the marginal lending rate of the European Central Bank, to which should be added three percentage points.</w:t>
      </w:r>
    </w:p>
    <w:p w:rsidRPr="00B862DA" w:rsidR="00014566" w:rsidP="00B862DA" w:rsidRDefault="00BB5883">
      <w:pPr>
        <w:pStyle w:val="ECHRTitle1"/>
        <w:rPr>
          <w:lang w:val="en-GB"/>
        </w:rPr>
      </w:pPr>
      <w:r w:rsidRPr="00B862DA">
        <w:rPr>
          <w:lang w:val="en-GB"/>
        </w:rPr>
        <w:t>FOR THESE REASONS, THE COURT</w:t>
      </w:r>
      <w:r w:rsidRPr="00B862DA" w:rsidR="00723D72">
        <w:rPr>
          <w:lang w:val="en-GB"/>
        </w:rPr>
        <w:t>, UNANIMOUSLY,</w:t>
      </w:r>
    </w:p>
    <w:p w:rsidRPr="00B862DA" w:rsidR="00B637B9" w:rsidP="00B862DA" w:rsidRDefault="00B637B9">
      <w:pPr>
        <w:pStyle w:val="JuList"/>
        <w:rPr>
          <w:lang w:val="en-GB"/>
        </w:rPr>
      </w:pPr>
      <w:r w:rsidRPr="00B862DA">
        <w:rPr>
          <w:lang w:val="en-GB"/>
        </w:rPr>
        <w:t>1.  </w:t>
      </w:r>
      <w:r w:rsidRPr="00B862DA">
        <w:rPr>
          <w:i/>
          <w:lang w:val="en-GB"/>
        </w:rPr>
        <w:t>Declares</w:t>
      </w:r>
      <w:r w:rsidRPr="00B862DA" w:rsidR="00723D72">
        <w:rPr>
          <w:lang w:val="en-GB"/>
        </w:rPr>
        <w:t xml:space="preserve"> </w:t>
      </w:r>
      <w:r w:rsidRPr="00B862DA">
        <w:rPr>
          <w:lang w:val="en-GB"/>
        </w:rPr>
        <w:t xml:space="preserve">the </w:t>
      </w:r>
      <w:r w:rsidRPr="00B862DA" w:rsidR="008865A7">
        <w:rPr>
          <w:lang w:val="en-GB"/>
        </w:rPr>
        <w:t>complaint under Article</w:t>
      </w:r>
      <w:r w:rsidRPr="00B862DA" w:rsidR="002545CA">
        <w:rPr>
          <w:lang w:val="en-GB"/>
        </w:rPr>
        <w:t> </w:t>
      </w:r>
      <w:r w:rsidRPr="00B862DA" w:rsidR="008865A7">
        <w:rPr>
          <w:lang w:val="en-GB"/>
        </w:rPr>
        <w:t xml:space="preserve">8 of the Convention concerning the </w:t>
      </w:r>
      <w:r w:rsidRPr="00B862DA" w:rsidR="00CB0EAD">
        <w:rPr>
          <w:lang w:val="en-GB"/>
        </w:rPr>
        <w:t>denial of</w:t>
      </w:r>
      <w:r w:rsidRPr="00B862DA" w:rsidR="008865A7">
        <w:rPr>
          <w:lang w:val="en-GB"/>
        </w:rPr>
        <w:t xml:space="preserve"> a family visit during the administrative </w:t>
      </w:r>
      <w:r w:rsidRPr="00B862DA" w:rsidR="00767752">
        <w:rPr>
          <w:lang w:val="en-GB"/>
        </w:rPr>
        <w:t>detention</w:t>
      </w:r>
      <w:r w:rsidRPr="00B862DA" w:rsidR="008865A7">
        <w:rPr>
          <w:lang w:val="en-GB"/>
        </w:rPr>
        <w:t xml:space="preserve"> admissible and the remainder of the </w:t>
      </w:r>
      <w:r w:rsidRPr="00B862DA" w:rsidR="00723D72">
        <w:rPr>
          <w:lang w:val="en-GB"/>
        </w:rPr>
        <w:t>application</w:t>
      </w:r>
      <w:r w:rsidRPr="00B862DA">
        <w:rPr>
          <w:lang w:val="en-GB"/>
        </w:rPr>
        <w:t xml:space="preserve"> </w:t>
      </w:r>
      <w:r w:rsidRPr="00B862DA" w:rsidR="008865A7">
        <w:rPr>
          <w:lang w:val="en-GB"/>
        </w:rPr>
        <w:t>in</w:t>
      </w:r>
      <w:r w:rsidRPr="00B862DA">
        <w:rPr>
          <w:lang w:val="en-GB"/>
        </w:rPr>
        <w:t>admissible;</w:t>
      </w:r>
    </w:p>
    <w:p w:rsidRPr="00B862DA" w:rsidR="008865A7" w:rsidP="00B862DA" w:rsidRDefault="008865A7">
      <w:pPr>
        <w:pStyle w:val="JuList"/>
        <w:rPr>
          <w:lang w:val="en-GB"/>
        </w:rPr>
      </w:pPr>
    </w:p>
    <w:p w:rsidRPr="00B862DA" w:rsidR="00014566" w:rsidP="00B862DA" w:rsidRDefault="008865A7">
      <w:pPr>
        <w:pStyle w:val="JuList"/>
        <w:rPr>
          <w:lang w:val="en-GB"/>
        </w:rPr>
      </w:pPr>
      <w:r w:rsidRPr="00B862DA">
        <w:rPr>
          <w:lang w:val="en-GB"/>
        </w:rPr>
        <w:t>2</w:t>
      </w:r>
      <w:r w:rsidRPr="00B862DA" w:rsidR="00014566">
        <w:rPr>
          <w:lang w:val="en-GB"/>
        </w:rPr>
        <w:t>.  </w:t>
      </w:r>
      <w:r w:rsidRPr="00B862DA" w:rsidR="00014566">
        <w:rPr>
          <w:i/>
          <w:lang w:val="en-GB"/>
        </w:rPr>
        <w:t>Holds</w:t>
      </w:r>
      <w:r w:rsidRPr="00B862DA" w:rsidR="00723D72">
        <w:rPr>
          <w:lang w:val="en-GB"/>
        </w:rPr>
        <w:t xml:space="preserve"> </w:t>
      </w:r>
      <w:r w:rsidRPr="00B862DA" w:rsidR="00014566">
        <w:rPr>
          <w:lang w:val="en-GB"/>
        </w:rPr>
        <w:t xml:space="preserve">that there has been a violation of Article </w:t>
      </w:r>
      <w:r w:rsidRPr="00B862DA" w:rsidR="00CD4D03">
        <w:rPr>
          <w:lang w:val="en-GB"/>
        </w:rPr>
        <w:t>8</w:t>
      </w:r>
      <w:r w:rsidRPr="00B862DA" w:rsidR="00014566">
        <w:rPr>
          <w:lang w:val="en-GB"/>
        </w:rPr>
        <w:t xml:space="preserve"> of the Convention;</w:t>
      </w:r>
    </w:p>
    <w:p w:rsidRPr="00B862DA" w:rsidR="00014566" w:rsidP="00B862DA" w:rsidRDefault="00014566">
      <w:pPr>
        <w:pStyle w:val="JuList"/>
        <w:rPr>
          <w:lang w:val="en-GB"/>
        </w:rPr>
      </w:pPr>
    </w:p>
    <w:p w:rsidRPr="00B862DA" w:rsidR="00014566" w:rsidP="00B862DA" w:rsidRDefault="008865A7">
      <w:pPr>
        <w:pStyle w:val="JuList"/>
        <w:rPr>
          <w:lang w:val="en-GB"/>
        </w:rPr>
      </w:pPr>
      <w:r w:rsidRPr="00B862DA">
        <w:rPr>
          <w:lang w:val="en-GB"/>
        </w:rPr>
        <w:t>3</w:t>
      </w:r>
      <w:r w:rsidRPr="00B862DA" w:rsidR="00014566">
        <w:rPr>
          <w:lang w:val="en-GB"/>
        </w:rPr>
        <w:t>.  </w:t>
      </w:r>
      <w:r w:rsidRPr="00B862DA" w:rsidR="00014566">
        <w:rPr>
          <w:i/>
          <w:lang w:val="en-GB"/>
        </w:rPr>
        <w:t>Holds</w:t>
      </w:r>
    </w:p>
    <w:p w:rsidRPr="00B862DA" w:rsidR="00014566" w:rsidP="00B862DA" w:rsidRDefault="00014566">
      <w:pPr>
        <w:pStyle w:val="JuLista"/>
        <w:rPr>
          <w:lang w:val="en-GB"/>
        </w:rPr>
      </w:pPr>
      <w:r w:rsidRPr="00B862DA">
        <w:rPr>
          <w:lang w:val="en-GB"/>
        </w:rPr>
        <w:t>(a)  that the respondent State is to pay the applicant, within three months</w:t>
      </w:r>
      <w:r w:rsidRPr="00B862DA" w:rsidR="00723D72">
        <w:rPr>
          <w:lang w:val="en-GB"/>
        </w:rPr>
        <w:t xml:space="preserve"> from the date on which the judgment becomes final in accordance with Article 44 § 2 of the Convention,</w:t>
      </w:r>
      <w:r w:rsidRPr="00B862DA">
        <w:rPr>
          <w:lang w:val="en-GB"/>
        </w:rPr>
        <w:t xml:space="preserve"> the following amounts, to be converted into</w:t>
      </w:r>
      <w:r w:rsidRPr="00B862DA" w:rsidR="00D53BEA">
        <w:rPr>
          <w:lang w:val="en-GB"/>
        </w:rPr>
        <w:t xml:space="preserve"> the Russian roubles </w:t>
      </w:r>
      <w:r w:rsidRPr="00B862DA">
        <w:rPr>
          <w:lang w:val="en-GB"/>
        </w:rPr>
        <w:t>at the rate applicable at the date of settlement:</w:t>
      </w:r>
    </w:p>
    <w:p w:rsidRPr="00B862DA" w:rsidR="00014566" w:rsidP="00B862DA" w:rsidRDefault="00014566">
      <w:pPr>
        <w:pStyle w:val="JuListi"/>
        <w:rPr>
          <w:lang w:val="en-GB"/>
        </w:rPr>
      </w:pPr>
      <w:r w:rsidRPr="00B862DA">
        <w:rPr>
          <w:lang w:val="en-GB"/>
        </w:rPr>
        <w:t xml:space="preserve">(i)  EUR </w:t>
      </w:r>
      <w:r w:rsidRPr="00B862DA" w:rsidR="00D53BEA">
        <w:rPr>
          <w:lang w:val="en-GB"/>
        </w:rPr>
        <w:t xml:space="preserve">1,000 </w:t>
      </w:r>
      <w:r w:rsidRPr="00B862DA">
        <w:rPr>
          <w:lang w:val="en-GB"/>
        </w:rPr>
        <w:t>(</w:t>
      </w:r>
      <w:r w:rsidRPr="00B862DA" w:rsidR="00D53BEA">
        <w:rPr>
          <w:lang w:val="en-GB"/>
        </w:rPr>
        <w:t xml:space="preserve">one thousand </w:t>
      </w:r>
      <w:r w:rsidRPr="00B862DA">
        <w:rPr>
          <w:lang w:val="en-GB"/>
        </w:rPr>
        <w:t>euros), plus any tax that may be chargeable, in respect of non-pecuniary damage;</w:t>
      </w:r>
    </w:p>
    <w:p w:rsidRPr="00B862DA" w:rsidR="00014566" w:rsidP="00B862DA" w:rsidRDefault="00014566">
      <w:pPr>
        <w:pStyle w:val="JuListi"/>
        <w:rPr>
          <w:lang w:val="en-GB"/>
        </w:rPr>
      </w:pPr>
      <w:r w:rsidRPr="00B862DA">
        <w:rPr>
          <w:lang w:val="en-GB"/>
        </w:rPr>
        <w:t xml:space="preserve">(ii)  EUR </w:t>
      </w:r>
      <w:r w:rsidRPr="00B862DA" w:rsidR="00D53BEA">
        <w:rPr>
          <w:lang w:val="en-GB"/>
        </w:rPr>
        <w:t>3</w:t>
      </w:r>
      <w:r w:rsidRPr="00B862DA">
        <w:rPr>
          <w:lang w:val="en-GB"/>
        </w:rPr>
        <w:t xml:space="preserve"> (</w:t>
      </w:r>
      <w:r w:rsidRPr="00B862DA" w:rsidR="00D53BEA">
        <w:rPr>
          <w:lang w:val="en-GB"/>
        </w:rPr>
        <w:t>three</w:t>
      </w:r>
      <w:r w:rsidRPr="00B862DA">
        <w:rPr>
          <w:lang w:val="en-GB"/>
        </w:rPr>
        <w:t xml:space="preserve"> euros), plus any tax that may be chargeable to the applicant, in respect of costs and expenses;</w:t>
      </w:r>
    </w:p>
    <w:p w:rsidRPr="00B862DA" w:rsidR="00014566" w:rsidP="00B862DA" w:rsidRDefault="00014566">
      <w:pPr>
        <w:pStyle w:val="JuLista"/>
        <w:rPr>
          <w:lang w:val="en-GB"/>
        </w:rPr>
      </w:pPr>
      <w:r w:rsidRPr="00B862DA">
        <w:rPr>
          <w:lang w:val="en-GB"/>
        </w:rPr>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B862DA" w:rsidR="00014566" w:rsidP="00B862DA" w:rsidRDefault="00014566">
      <w:pPr>
        <w:pStyle w:val="JuList"/>
        <w:rPr>
          <w:lang w:val="en-GB"/>
        </w:rPr>
      </w:pPr>
    </w:p>
    <w:p w:rsidRPr="00B862DA" w:rsidR="00014566" w:rsidP="00B862DA" w:rsidRDefault="008865A7">
      <w:pPr>
        <w:pStyle w:val="JuList"/>
        <w:rPr>
          <w:lang w:val="en-GB"/>
        </w:rPr>
      </w:pPr>
      <w:r w:rsidRPr="00B862DA">
        <w:rPr>
          <w:lang w:val="en-GB"/>
        </w:rPr>
        <w:t>4</w:t>
      </w:r>
      <w:r w:rsidRPr="00B862DA" w:rsidR="00014566">
        <w:rPr>
          <w:lang w:val="en-GB"/>
        </w:rPr>
        <w:t>.  </w:t>
      </w:r>
      <w:r w:rsidRPr="00B862DA" w:rsidR="00014566">
        <w:rPr>
          <w:i/>
          <w:lang w:val="en-GB"/>
        </w:rPr>
        <w:t>Dismisses</w:t>
      </w:r>
      <w:r w:rsidRPr="00B862DA" w:rsidR="00723D72">
        <w:rPr>
          <w:lang w:val="en-GB"/>
        </w:rPr>
        <w:t xml:space="preserve"> </w:t>
      </w:r>
      <w:r w:rsidRPr="00B862DA" w:rsidR="00014566">
        <w:rPr>
          <w:lang w:val="en-GB"/>
        </w:rPr>
        <w:t>the remainder of the applicant</w:t>
      </w:r>
      <w:r w:rsidRPr="00B862DA" w:rsidR="00B862DA">
        <w:rPr>
          <w:lang w:val="en-GB"/>
        </w:rPr>
        <w:t>’</w:t>
      </w:r>
      <w:r w:rsidRPr="00B862DA" w:rsidR="00723D72">
        <w:rPr>
          <w:lang w:val="en-GB"/>
        </w:rPr>
        <w:t>s</w:t>
      </w:r>
      <w:r w:rsidRPr="00B862DA" w:rsidR="00014566">
        <w:rPr>
          <w:lang w:val="en-GB"/>
        </w:rPr>
        <w:t xml:space="preserve"> claim for just satisfaction.</w:t>
      </w:r>
    </w:p>
    <w:p w:rsidRPr="00B862DA" w:rsidR="00014566" w:rsidP="00B862DA" w:rsidRDefault="00014566">
      <w:pPr>
        <w:pStyle w:val="JuParaLast"/>
        <w:rPr>
          <w:lang w:val="en-GB"/>
        </w:rPr>
      </w:pPr>
      <w:r w:rsidRPr="00B862DA">
        <w:rPr>
          <w:lang w:val="en-GB"/>
        </w:rPr>
        <w:t xml:space="preserve">Done in English, and notified in writing on </w:t>
      </w:r>
      <w:r w:rsidRPr="00B862DA" w:rsidR="00A9538E">
        <w:rPr>
          <w:lang w:val="en-GB"/>
        </w:rPr>
        <w:t>16 May 2017</w:t>
      </w:r>
      <w:r w:rsidRPr="00B862DA">
        <w:rPr>
          <w:lang w:val="en-GB"/>
        </w:rPr>
        <w:t>, pursuant to Rule 77 §§ 2 and 3 of the Rules of Court.</w:t>
      </w:r>
    </w:p>
    <w:p w:rsidRPr="00B862DA" w:rsidR="004D15F3" w:rsidP="00B862DA" w:rsidRDefault="00014566">
      <w:pPr>
        <w:pStyle w:val="JuSigned"/>
        <w:rPr>
          <w:lang w:val="en-GB"/>
        </w:rPr>
      </w:pPr>
      <w:r w:rsidRPr="00B862DA">
        <w:rPr>
          <w:lang w:val="en-GB"/>
        </w:rPr>
        <w:tab/>
      </w:r>
      <w:r w:rsidRPr="00B862DA" w:rsidR="00723D72">
        <w:rPr>
          <w:lang w:val="en-GB"/>
        </w:rPr>
        <w:t>Stephen Phillips</w:t>
      </w:r>
      <w:r w:rsidRPr="00B862DA">
        <w:rPr>
          <w:lang w:val="en-GB"/>
        </w:rPr>
        <w:tab/>
      </w:r>
      <w:r w:rsidRPr="00B862DA" w:rsidR="00113F98">
        <w:rPr>
          <w:lang w:val="en-GB"/>
        </w:rPr>
        <w:t>Helena Jäderblom</w:t>
      </w:r>
      <w:r w:rsidRPr="00B862DA" w:rsidR="00E1557C">
        <w:rPr>
          <w:szCs w:val="24"/>
          <w:lang w:val="en-GB"/>
        </w:rPr>
        <w:br/>
      </w:r>
      <w:r w:rsidRPr="00B862DA">
        <w:rPr>
          <w:lang w:val="en-GB"/>
        </w:rPr>
        <w:tab/>
      </w:r>
      <w:r w:rsidRPr="00B862DA" w:rsidR="00723D72">
        <w:rPr>
          <w:iCs/>
          <w:lang w:val="en-GB"/>
        </w:rPr>
        <w:t>Registrar</w:t>
      </w:r>
      <w:r w:rsidRPr="00B862DA">
        <w:rPr>
          <w:lang w:val="en-GB"/>
        </w:rPr>
        <w:tab/>
        <w:t>President</w:t>
      </w:r>
    </w:p>
    <w:sectPr w:rsidRPr="00B862DA" w:rsidR="004D15F3" w:rsidSect="00A9538E">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3F14" w:rsidRPr="0040288E" w:rsidRDefault="00B73F14" w:rsidP="00014566">
      <w:pPr>
        <w:rPr>
          <w:lang w:val="en-GB"/>
        </w:rPr>
      </w:pPr>
      <w:r w:rsidRPr="0040288E">
        <w:rPr>
          <w:lang w:val="en-GB"/>
        </w:rPr>
        <w:separator/>
      </w:r>
    </w:p>
  </w:endnote>
  <w:endnote w:type="continuationSeparator" w:id="0">
    <w:p w:rsidR="00B73F14" w:rsidRPr="0040288E" w:rsidRDefault="00B73F14" w:rsidP="00014566">
      <w:pPr>
        <w:rPr>
          <w:lang w:val="en-GB"/>
        </w:rPr>
      </w:pPr>
      <w:r w:rsidRPr="0040288E">
        <w:rPr>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8E" w:rsidRPr="00150BFA" w:rsidRDefault="00A9538E" w:rsidP="0020718E">
    <w:pPr>
      <w:jc w:val="center"/>
    </w:pPr>
    <w:r>
      <w:rPr>
        <w:noProof/>
        <w:lang w:eastAsia="ja-JP"/>
      </w:rPr>
      <w:drawing>
        <wp:inline distT="0" distB="0" distL="0" distR="0" wp14:anchorId="3608F4AA" wp14:editId="109EE192">
          <wp:extent cx="771525" cy="619125"/>
          <wp:effectExtent l="0" t="0" r="9525" b="9525"/>
          <wp:docPr id="11" name="Picture 11"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A9538E" w:rsidRDefault="00A953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3F14" w:rsidRPr="0040288E" w:rsidRDefault="00B73F14" w:rsidP="00014566">
      <w:pPr>
        <w:rPr>
          <w:lang w:val="en-GB"/>
        </w:rPr>
      </w:pPr>
      <w:r w:rsidRPr="0040288E">
        <w:rPr>
          <w:lang w:val="en-GB"/>
        </w:rPr>
        <w:separator/>
      </w:r>
    </w:p>
  </w:footnote>
  <w:footnote w:type="continuationSeparator" w:id="0">
    <w:p w:rsidR="00B73F14" w:rsidRPr="0040288E" w:rsidRDefault="00B73F14" w:rsidP="00014566">
      <w:pPr>
        <w:rPr>
          <w:lang w:val="en-GB"/>
        </w:rPr>
      </w:pPr>
      <w:r w:rsidRPr="0040288E">
        <w:rPr>
          <w:lang w:val="en-GB"/>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F14" w:rsidRPr="00A9538E" w:rsidRDefault="00B73F14" w:rsidP="00A9538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8E" w:rsidRPr="00A45145" w:rsidRDefault="00A9538E" w:rsidP="00A45145">
    <w:pPr>
      <w:jc w:val="center"/>
    </w:pPr>
    <w:r>
      <w:rPr>
        <w:noProof/>
        <w:lang w:eastAsia="ja-JP"/>
      </w:rPr>
      <w:drawing>
        <wp:inline distT="0" distB="0" distL="0" distR="0" wp14:anchorId="1AE97748" wp14:editId="0991B63D">
          <wp:extent cx="2962275" cy="1219200"/>
          <wp:effectExtent l="0" t="0" r="9525" b="0"/>
          <wp:docPr id="6" name="Picture 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B73F14" w:rsidRPr="002B07BD" w:rsidRDefault="00B73F14">
    <w:pPr>
      <w:pStyle w:val="Header"/>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8E" w:rsidRPr="0040288E" w:rsidRDefault="00A9538E" w:rsidP="00EE1DA9">
    <w:pPr>
      <w:pStyle w:val="ECHRHeader"/>
      <w:rPr>
        <w:lang w:val="en-GB"/>
      </w:rPr>
    </w:pPr>
    <w:r w:rsidRPr="0040288E">
      <w:rPr>
        <w:rStyle w:val="PageNumber"/>
        <w:szCs w:val="18"/>
        <w:lang w:val="en-GB"/>
      </w:rPr>
      <w:fldChar w:fldCharType="begin"/>
    </w:r>
    <w:r w:rsidRPr="0040288E">
      <w:rPr>
        <w:rStyle w:val="PageNumber"/>
        <w:szCs w:val="18"/>
        <w:lang w:val="en-GB"/>
      </w:rPr>
      <w:instrText xml:space="preserve"> PAGE </w:instrText>
    </w:r>
    <w:r w:rsidRPr="0040288E">
      <w:rPr>
        <w:rStyle w:val="PageNumber"/>
        <w:szCs w:val="18"/>
        <w:lang w:val="en-GB"/>
      </w:rPr>
      <w:fldChar w:fldCharType="separate"/>
    </w:r>
    <w:r w:rsidR="00B862DA">
      <w:rPr>
        <w:rStyle w:val="PageNumber"/>
        <w:noProof/>
        <w:szCs w:val="18"/>
        <w:lang w:val="en-GB"/>
      </w:rPr>
      <w:t>8</w:t>
    </w:r>
    <w:r w:rsidRPr="0040288E">
      <w:rPr>
        <w:rStyle w:val="PageNumber"/>
        <w:szCs w:val="18"/>
        <w:lang w:val="en-GB"/>
      </w:rPr>
      <w:fldChar w:fldCharType="end"/>
    </w:r>
    <w:r w:rsidRPr="0040288E">
      <w:rPr>
        <w:lang w:val="en-GB"/>
      </w:rPr>
      <w:tab/>
      <w:t xml:space="preserve">PAKHTUSOV v. RUSSIA </w:t>
    </w:r>
    <w:r>
      <w:rPr>
        <w:lang w:val="en-GB"/>
      </w:rP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538E" w:rsidRPr="0040288E" w:rsidRDefault="00A9538E" w:rsidP="00D60D87">
    <w:pPr>
      <w:pStyle w:val="ECHRHeader"/>
      <w:rPr>
        <w:lang w:val="en-GB"/>
      </w:rPr>
    </w:pPr>
    <w:r w:rsidRPr="0040288E">
      <w:rPr>
        <w:lang w:val="en-GB"/>
      </w:rPr>
      <w:tab/>
      <w:t xml:space="preserve">PAKHTUSOV v. RUSSIA </w:t>
    </w:r>
    <w:r>
      <w:rPr>
        <w:lang w:val="en-GB"/>
      </w:rPr>
      <w:t>JUDGMENT</w:t>
    </w:r>
    <w:r w:rsidRPr="0040288E">
      <w:rPr>
        <w:lang w:val="en-GB"/>
      </w:rPr>
      <w:tab/>
    </w:r>
    <w:r w:rsidRPr="002B07BD">
      <w:rPr>
        <w:rStyle w:val="PageNumber"/>
        <w:szCs w:val="18"/>
        <w:lang w:val="en-GB"/>
      </w:rPr>
      <w:fldChar w:fldCharType="begin"/>
    </w:r>
    <w:r w:rsidRPr="0040288E">
      <w:rPr>
        <w:rStyle w:val="PageNumber"/>
        <w:szCs w:val="18"/>
        <w:lang w:val="en-GB"/>
      </w:rPr>
      <w:instrText xml:space="preserve"> PAGE </w:instrText>
    </w:r>
    <w:r w:rsidRPr="002B07BD">
      <w:rPr>
        <w:rStyle w:val="PageNumber"/>
        <w:szCs w:val="18"/>
        <w:lang w:val="en-GB"/>
      </w:rPr>
      <w:fldChar w:fldCharType="separate"/>
    </w:r>
    <w:r w:rsidR="00B862DA">
      <w:rPr>
        <w:rStyle w:val="PageNumber"/>
        <w:noProof/>
        <w:szCs w:val="18"/>
        <w:lang w:val="en-GB"/>
      </w:rPr>
      <w:t>7</w:t>
    </w:r>
    <w:r w:rsidRPr="002B07BD">
      <w:rPr>
        <w:rStyle w:val="PageNumber"/>
        <w:szCs w:val="18"/>
        <w:lang w:val="en-G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112245"/>
    <w:multiLevelType w:val="hybridMultilevel"/>
    <w:tmpl w:val="330E0598"/>
    <w:lvl w:ilvl="0" w:tplc="D5AE35D2">
      <w:start w:val="2"/>
      <w:numFmt w:val="upperLetter"/>
      <w:lvlText w:val="%1."/>
      <w:lvlJc w:val="left"/>
      <w:pPr>
        <w:tabs>
          <w:tab w:val="num" w:pos="592"/>
        </w:tabs>
        <w:ind w:left="592" w:hanging="360"/>
      </w:pPr>
      <w:rPr>
        <w:rFonts w:hint="default"/>
      </w:rPr>
    </w:lvl>
    <w:lvl w:ilvl="1" w:tplc="08090019" w:tentative="1">
      <w:start w:val="1"/>
      <w:numFmt w:val="lowerLetter"/>
      <w:lvlText w:val="%2."/>
      <w:lvlJc w:val="left"/>
      <w:pPr>
        <w:tabs>
          <w:tab w:val="num" w:pos="1312"/>
        </w:tabs>
        <w:ind w:left="1312" w:hanging="360"/>
      </w:pPr>
    </w:lvl>
    <w:lvl w:ilvl="2" w:tplc="0809001B" w:tentative="1">
      <w:start w:val="1"/>
      <w:numFmt w:val="lowerRoman"/>
      <w:lvlText w:val="%3."/>
      <w:lvlJc w:val="right"/>
      <w:pPr>
        <w:tabs>
          <w:tab w:val="num" w:pos="2032"/>
        </w:tabs>
        <w:ind w:left="2032" w:hanging="180"/>
      </w:pPr>
    </w:lvl>
    <w:lvl w:ilvl="3" w:tplc="0809000F" w:tentative="1">
      <w:start w:val="1"/>
      <w:numFmt w:val="decimal"/>
      <w:lvlText w:val="%4."/>
      <w:lvlJc w:val="left"/>
      <w:pPr>
        <w:tabs>
          <w:tab w:val="num" w:pos="2752"/>
        </w:tabs>
        <w:ind w:left="2752" w:hanging="360"/>
      </w:pPr>
    </w:lvl>
    <w:lvl w:ilvl="4" w:tplc="08090019" w:tentative="1">
      <w:start w:val="1"/>
      <w:numFmt w:val="lowerLetter"/>
      <w:lvlText w:val="%5."/>
      <w:lvlJc w:val="left"/>
      <w:pPr>
        <w:tabs>
          <w:tab w:val="num" w:pos="3472"/>
        </w:tabs>
        <w:ind w:left="3472" w:hanging="360"/>
      </w:pPr>
    </w:lvl>
    <w:lvl w:ilvl="5" w:tplc="0809001B" w:tentative="1">
      <w:start w:val="1"/>
      <w:numFmt w:val="lowerRoman"/>
      <w:lvlText w:val="%6."/>
      <w:lvlJc w:val="right"/>
      <w:pPr>
        <w:tabs>
          <w:tab w:val="num" w:pos="4192"/>
        </w:tabs>
        <w:ind w:left="4192" w:hanging="180"/>
      </w:pPr>
    </w:lvl>
    <w:lvl w:ilvl="6" w:tplc="0809000F" w:tentative="1">
      <w:start w:val="1"/>
      <w:numFmt w:val="decimal"/>
      <w:lvlText w:val="%7."/>
      <w:lvlJc w:val="left"/>
      <w:pPr>
        <w:tabs>
          <w:tab w:val="num" w:pos="4912"/>
        </w:tabs>
        <w:ind w:left="4912" w:hanging="360"/>
      </w:pPr>
    </w:lvl>
    <w:lvl w:ilvl="7" w:tplc="08090019" w:tentative="1">
      <w:start w:val="1"/>
      <w:numFmt w:val="lowerLetter"/>
      <w:lvlText w:val="%8."/>
      <w:lvlJc w:val="left"/>
      <w:pPr>
        <w:tabs>
          <w:tab w:val="num" w:pos="5632"/>
        </w:tabs>
        <w:ind w:left="5632" w:hanging="360"/>
      </w:pPr>
    </w:lvl>
    <w:lvl w:ilvl="8" w:tplc="0809001B" w:tentative="1">
      <w:start w:val="1"/>
      <w:numFmt w:val="lowerRoman"/>
      <w:lvlText w:val="%9."/>
      <w:lvlJc w:val="right"/>
      <w:pPr>
        <w:tabs>
          <w:tab w:val="num" w:pos="6352"/>
        </w:tabs>
        <w:ind w:left="6352" w:hanging="180"/>
      </w:pPr>
    </w:lvl>
  </w:abstractNum>
  <w:abstractNum w:abstractNumId="12">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10"/>
  </w:num>
  <w:num w:numId="3">
    <w:abstractNumId w:val="9"/>
  </w:num>
  <w:num w:numId="4">
    <w:abstractNumId w:val="14"/>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3"/>
  </w:num>
  <w:num w:numId="16">
    <w:abstractNumId w:val="13"/>
  </w:num>
  <w:num w:numId="17">
    <w:abstractNumId w:val="11"/>
  </w:num>
  <w:num w:numId="18">
    <w:abstractNumId w:val="13"/>
  </w:num>
  <w:num w:numId="19">
    <w:abstractNumId w:val="13"/>
  </w:num>
  <w:num w:numId="20">
    <w:abstractNumId w:val="13"/>
  </w:num>
  <w:num w:numId="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NatAutre" w:val="0"/>
    <w:docVar w:name="DocVarPREMATURE" w:val="0"/>
    <w:docVar w:name="EMM" w:val="0"/>
    <w:docVar w:name="ETRANSMISSION" w:val="BY E-TRANSMISSION ONLY"/>
    <w:docVar w:name="L4_1Annex" w:val="0"/>
    <w:docVar w:name="L4_1Anonymity" w:val="0"/>
    <w:docVar w:name="NBEMMDOC" w:val="0"/>
    <w:docVar w:name="SignForeName" w:val="0"/>
  </w:docVars>
  <w:rsids>
    <w:rsidRoot w:val="00723D72"/>
    <w:rsid w:val="000010ED"/>
    <w:rsid w:val="000041F8"/>
    <w:rsid w:val="000042A8"/>
    <w:rsid w:val="00004308"/>
    <w:rsid w:val="00005BF0"/>
    <w:rsid w:val="00007154"/>
    <w:rsid w:val="000103AE"/>
    <w:rsid w:val="00011D69"/>
    <w:rsid w:val="00012AD3"/>
    <w:rsid w:val="00014566"/>
    <w:rsid w:val="000145FD"/>
    <w:rsid w:val="00015130"/>
    <w:rsid w:val="00015C2D"/>
    <w:rsid w:val="00015F00"/>
    <w:rsid w:val="00022C1D"/>
    <w:rsid w:val="00024396"/>
    <w:rsid w:val="00034987"/>
    <w:rsid w:val="000350E3"/>
    <w:rsid w:val="000551F0"/>
    <w:rsid w:val="000602DF"/>
    <w:rsid w:val="00060DEB"/>
    <w:rsid w:val="00061B05"/>
    <w:rsid w:val="00062973"/>
    <w:rsid w:val="00062D5D"/>
    <w:rsid w:val="000632D5"/>
    <w:rsid w:val="000644EE"/>
    <w:rsid w:val="00071ABC"/>
    <w:rsid w:val="0008063D"/>
    <w:rsid w:val="00081354"/>
    <w:rsid w:val="000856D7"/>
    <w:rsid w:val="000925AD"/>
    <w:rsid w:val="0009344A"/>
    <w:rsid w:val="000A24EB"/>
    <w:rsid w:val="000A595A"/>
    <w:rsid w:val="000A61E3"/>
    <w:rsid w:val="000B5EB5"/>
    <w:rsid w:val="000B6923"/>
    <w:rsid w:val="000C033C"/>
    <w:rsid w:val="000C5F3C"/>
    <w:rsid w:val="000C6DCC"/>
    <w:rsid w:val="000D47AA"/>
    <w:rsid w:val="000D5367"/>
    <w:rsid w:val="000D721F"/>
    <w:rsid w:val="000E069B"/>
    <w:rsid w:val="000E0E82"/>
    <w:rsid w:val="000E1DC5"/>
    <w:rsid w:val="000E223F"/>
    <w:rsid w:val="000E35AC"/>
    <w:rsid w:val="000E7D45"/>
    <w:rsid w:val="000F7851"/>
    <w:rsid w:val="00104E23"/>
    <w:rsid w:val="001111E1"/>
    <w:rsid w:val="00111B0C"/>
    <w:rsid w:val="00113F98"/>
    <w:rsid w:val="00120D6C"/>
    <w:rsid w:val="001257EC"/>
    <w:rsid w:val="00126D06"/>
    <w:rsid w:val="00132C6A"/>
    <w:rsid w:val="00133D33"/>
    <w:rsid w:val="00134D64"/>
    <w:rsid w:val="00135A30"/>
    <w:rsid w:val="0013612C"/>
    <w:rsid w:val="00137D21"/>
    <w:rsid w:val="00137FF6"/>
    <w:rsid w:val="00141650"/>
    <w:rsid w:val="001511B6"/>
    <w:rsid w:val="00162A12"/>
    <w:rsid w:val="00166530"/>
    <w:rsid w:val="0017480B"/>
    <w:rsid w:val="001816CA"/>
    <w:rsid w:val="001832BD"/>
    <w:rsid w:val="001878AA"/>
    <w:rsid w:val="00192CC5"/>
    <w:rsid w:val="001943B5"/>
    <w:rsid w:val="00195134"/>
    <w:rsid w:val="001A0367"/>
    <w:rsid w:val="001A145B"/>
    <w:rsid w:val="001A2CC4"/>
    <w:rsid w:val="001A51D9"/>
    <w:rsid w:val="001A674C"/>
    <w:rsid w:val="001B3B24"/>
    <w:rsid w:val="001C0F98"/>
    <w:rsid w:val="001C2A42"/>
    <w:rsid w:val="001C308F"/>
    <w:rsid w:val="001D38A0"/>
    <w:rsid w:val="001D50C3"/>
    <w:rsid w:val="001D63ED"/>
    <w:rsid w:val="001D7348"/>
    <w:rsid w:val="001E035B"/>
    <w:rsid w:val="001E0961"/>
    <w:rsid w:val="001E3742"/>
    <w:rsid w:val="001E3EAE"/>
    <w:rsid w:val="001E5348"/>
    <w:rsid w:val="001E6F32"/>
    <w:rsid w:val="001F2145"/>
    <w:rsid w:val="001F6262"/>
    <w:rsid w:val="001F67B0"/>
    <w:rsid w:val="001F7B3D"/>
    <w:rsid w:val="00205F9F"/>
    <w:rsid w:val="0020625D"/>
    <w:rsid w:val="00207618"/>
    <w:rsid w:val="00210338"/>
    <w:rsid w:val="002115FC"/>
    <w:rsid w:val="002133F8"/>
    <w:rsid w:val="0021423C"/>
    <w:rsid w:val="002217DB"/>
    <w:rsid w:val="002244E2"/>
    <w:rsid w:val="00224F9B"/>
    <w:rsid w:val="00225028"/>
    <w:rsid w:val="00225617"/>
    <w:rsid w:val="00230D00"/>
    <w:rsid w:val="00231DF7"/>
    <w:rsid w:val="00231FD1"/>
    <w:rsid w:val="002339E0"/>
    <w:rsid w:val="00233CF8"/>
    <w:rsid w:val="0023575D"/>
    <w:rsid w:val="00237148"/>
    <w:rsid w:val="0024222D"/>
    <w:rsid w:val="00244B0E"/>
    <w:rsid w:val="00244F6C"/>
    <w:rsid w:val="00247CD2"/>
    <w:rsid w:val="002532C5"/>
    <w:rsid w:val="002545CA"/>
    <w:rsid w:val="00260C03"/>
    <w:rsid w:val="0026540E"/>
    <w:rsid w:val="0027225C"/>
    <w:rsid w:val="00275123"/>
    <w:rsid w:val="00282240"/>
    <w:rsid w:val="0028572A"/>
    <w:rsid w:val="00287495"/>
    <w:rsid w:val="002902E5"/>
    <w:rsid w:val="002921D1"/>
    <w:rsid w:val="002948AD"/>
    <w:rsid w:val="00294C05"/>
    <w:rsid w:val="00294C92"/>
    <w:rsid w:val="002A01CC"/>
    <w:rsid w:val="002A61B1"/>
    <w:rsid w:val="002A663C"/>
    <w:rsid w:val="002A7F2C"/>
    <w:rsid w:val="002B07BD"/>
    <w:rsid w:val="002B1E6C"/>
    <w:rsid w:val="002B444B"/>
    <w:rsid w:val="002B5887"/>
    <w:rsid w:val="002B7063"/>
    <w:rsid w:val="002C0692"/>
    <w:rsid w:val="002C0E27"/>
    <w:rsid w:val="002C3040"/>
    <w:rsid w:val="002D022D"/>
    <w:rsid w:val="002D24BB"/>
    <w:rsid w:val="002E63D1"/>
    <w:rsid w:val="002F0A3F"/>
    <w:rsid w:val="002F2AF7"/>
    <w:rsid w:val="002F649F"/>
    <w:rsid w:val="002F7E1C"/>
    <w:rsid w:val="00301A75"/>
    <w:rsid w:val="00302F70"/>
    <w:rsid w:val="0030336F"/>
    <w:rsid w:val="0030375E"/>
    <w:rsid w:val="00312A30"/>
    <w:rsid w:val="00320F72"/>
    <w:rsid w:val="0032463E"/>
    <w:rsid w:val="00326224"/>
    <w:rsid w:val="0032676F"/>
    <w:rsid w:val="00337EE4"/>
    <w:rsid w:val="00340FFD"/>
    <w:rsid w:val="003428DC"/>
    <w:rsid w:val="003506B1"/>
    <w:rsid w:val="00356AC7"/>
    <w:rsid w:val="003609FA"/>
    <w:rsid w:val="003710C8"/>
    <w:rsid w:val="003750BE"/>
    <w:rsid w:val="00387B9D"/>
    <w:rsid w:val="0039364F"/>
    <w:rsid w:val="00396686"/>
    <w:rsid w:val="0039778E"/>
    <w:rsid w:val="003A441D"/>
    <w:rsid w:val="003B35C1"/>
    <w:rsid w:val="003B4941"/>
    <w:rsid w:val="003C3875"/>
    <w:rsid w:val="003C5714"/>
    <w:rsid w:val="003C6B9F"/>
    <w:rsid w:val="003C6E2A"/>
    <w:rsid w:val="003D0299"/>
    <w:rsid w:val="003D06E5"/>
    <w:rsid w:val="003E6D80"/>
    <w:rsid w:val="003F05FA"/>
    <w:rsid w:val="003F244A"/>
    <w:rsid w:val="003F30B8"/>
    <w:rsid w:val="003F4C45"/>
    <w:rsid w:val="003F5F7B"/>
    <w:rsid w:val="003F7D64"/>
    <w:rsid w:val="0040288E"/>
    <w:rsid w:val="00410157"/>
    <w:rsid w:val="00414300"/>
    <w:rsid w:val="0042395B"/>
    <w:rsid w:val="00425C67"/>
    <w:rsid w:val="00426EFC"/>
    <w:rsid w:val="00427E7A"/>
    <w:rsid w:val="00436307"/>
    <w:rsid w:val="00436C49"/>
    <w:rsid w:val="00445366"/>
    <w:rsid w:val="00447F5B"/>
    <w:rsid w:val="004501D6"/>
    <w:rsid w:val="00461DB0"/>
    <w:rsid w:val="004628A8"/>
    <w:rsid w:val="0046295D"/>
    <w:rsid w:val="00463926"/>
    <w:rsid w:val="004646E0"/>
    <w:rsid w:val="00464C9A"/>
    <w:rsid w:val="00466552"/>
    <w:rsid w:val="00474F3D"/>
    <w:rsid w:val="004767C6"/>
    <w:rsid w:val="00477E3A"/>
    <w:rsid w:val="00483E5F"/>
    <w:rsid w:val="00485FF9"/>
    <w:rsid w:val="004907F0"/>
    <w:rsid w:val="0049140B"/>
    <w:rsid w:val="004923A5"/>
    <w:rsid w:val="00494416"/>
    <w:rsid w:val="00495154"/>
    <w:rsid w:val="00496BFB"/>
    <w:rsid w:val="004A15C7"/>
    <w:rsid w:val="004B013B"/>
    <w:rsid w:val="004B112B"/>
    <w:rsid w:val="004C01E4"/>
    <w:rsid w:val="004C086C"/>
    <w:rsid w:val="004C1F56"/>
    <w:rsid w:val="004C27BC"/>
    <w:rsid w:val="004D15F3"/>
    <w:rsid w:val="004D1BE2"/>
    <w:rsid w:val="004D4E97"/>
    <w:rsid w:val="004D508B"/>
    <w:rsid w:val="004D5311"/>
    <w:rsid w:val="004D576C"/>
    <w:rsid w:val="004D5DCC"/>
    <w:rsid w:val="004E0CF4"/>
    <w:rsid w:val="004E35D4"/>
    <w:rsid w:val="004E7356"/>
    <w:rsid w:val="004F10AF"/>
    <w:rsid w:val="004F11A4"/>
    <w:rsid w:val="004F2389"/>
    <w:rsid w:val="004F304D"/>
    <w:rsid w:val="004F44D9"/>
    <w:rsid w:val="004F61BE"/>
    <w:rsid w:val="004F66B1"/>
    <w:rsid w:val="00503465"/>
    <w:rsid w:val="005116AD"/>
    <w:rsid w:val="00511C07"/>
    <w:rsid w:val="005173A6"/>
    <w:rsid w:val="00520BAA"/>
    <w:rsid w:val="005218AE"/>
    <w:rsid w:val="00525208"/>
    <w:rsid w:val="005257A5"/>
    <w:rsid w:val="005264C0"/>
    <w:rsid w:val="00526A8A"/>
    <w:rsid w:val="00531DF2"/>
    <w:rsid w:val="005442EE"/>
    <w:rsid w:val="00547353"/>
    <w:rsid w:val="005474E7"/>
    <w:rsid w:val="005512A3"/>
    <w:rsid w:val="005578CE"/>
    <w:rsid w:val="00562781"/>
    <w:rsid w:val="00563E83"/>
    <w:rsid w:val="00571262"/>
    <w:rsid w:val="0057271C"/>
    <w:rsid w:val="00572845"/>
    <w:rsid w:val="005857F5"/>
    <w:rsid w:val="005876CD"/>
    <w:rsid w:val="00592772"/>
    <w:rsid w:val="0059574A"/>
    <w:rsid w:val="005A1B9B"/>
    <w:rsid w:val="005A6751"/>
    <w:rsid w:val="005B092E"/>
    <w:rsid w:val="005B152C"/>
    <w:rsid w:val="005B1EE0"/>
    <w:rsid w:val="005B2B24"/>
    <w:rsid w:val="005B2D8A"/>
    <w:rsid w:val="005B4425"/>
    <w:rsid w:val="005B4B94"/>
    <w:rsid w:val="005C3EE8"/>
    <w:rsid w:val="005D34F9"/>
    <w:rsid w:val="005D4190"/>
    <w:rsid w:val="005D67A3"/>
    <w:rsid w:val="005E2988"/>
    <w:rsid w:val="005E2A43"/>
    <w:rsid w:val="005E3085"/>
    <w:rsid w:val="005E438A"/>
    <w:rsid w:val="005F2EEC"/>
    <w:rsid w:val="005F51E1"/>
    <w:rsid w:val="00606562"/>
    <w:rsid w:val="00611C80"/>
    <w:rsid w:val="006156D1"/>
    <w:rsid w:val="00616D91"/>
    <w:rsid w:val="006175EF"/>
    <w:rsid w:val="00620692"/>
    <w:rsid w:val="006225B2"/>
    <w:rsid w:val="006242CA"/>
    <w:rsid w:val="006243E6"/>
    <w:rsid w:val="00627507"/>
    <w:rsid w:val="00633717"/>
    <w:rsid w:val="006344E1"/>
    <w:rsid w:val="00640C03"/>
    <w:rsid w:val="00643AF2"/>
    <w:rsid w:val="006545C4"/>
    <w:rsid w:val="00657A6B"/>
    <w:rsid w:val="00661971"/>
    <w:rsid w:val="00661CE8"/>
    <w:rsid w:val="006623D9"/>
    <w:rsid w:val="0066550C"/>
    <w:rsid w:val="006716F2"/>
    <w:rsid w:val="00682BF2"/>
    <w:rsid w:val="006859CE"/>
    <w:rsid w:val="00687D29"/>
    <w:rsid w:val="00691270"/>
    <w:rsid w:val="00694BA8"/>
    <w:rsid w:val="006969C2"/>
    <w:rsid w:val="006A037C"/>
    <w:rsid w:val="006A36F4"/>
    <w:rsid w:val="006A406F"/>
    <w:rsid w:val="006A493D"/>
    <w:rsid w:val="006A5D3A"/>
    <w:rsid w:val="006B435B"/>
    <w:rsid w:val="006B4AB6"/>
    <w:rsid w:val="006C23D4"/>
    <w:rsid w:val="006C7BB0"/>
    <w:rsid w:val="006D3237"/>
    <w:rsid w:val="006E0AF9"/>
    <w:rsid w:val="006E12FC"/>
    <w:rsid w:val="006E2E37"/>
    <w:rsid w:val="006E3CF1"/>
    <w:rsid w:val="006E7E80"/>
    <w:rsid w:val="006F1DF9"/>
    <w:rsid w:val="006F24DB"/>
    <w:rsid w:val="006F48CA"/>
    <w:rsid w:val="006F64DD"/>
    <w:rsid w:val="0070732D"/>
    <w:rsid w:val="00715127"/>
    <w:rsid w:val="00715E8E"/>
    <w:rsid w:val="00723580"/>
    <w:rsid w:val="00723755"/>
    <w:rsid w:val="00723D72"/>
    <w:rsid w:val="0073136C"/>
    <w:rsid w:val="00731F0F"/>
    <w:rsid w:val="00733250"/>
    <w:rsid w:val="00735F1D"/>
    <w:rsid w:val="00741404"/>
    <w:rsid w:val="007449E5"/>
    <w:rsid w:val="00746C5A"/>
    <w:rsid w:val="00747FF0"/>
    <w:rsid w:val="00764D4E"/>
    <w:rsid w:val="00765A1F"/>
    <w:rsid w:val="00767594"/>
    <w:rsid w:val="00767752"/>
    <w:rsid w:val="00775B6D"/>
    <w:rsid w:val="00776D68"/>
    <w:rsid w:val="007850EE"/>
    <w:rsid w:val="00785B95"/>
    <w:rsid w:val="0078745B"/>
    <w:rsid w:val="00790E96"/>
    <w:rsid w:val="00793366"/>
    <w:rsid w:val="007A716F"/>
    <w:rsid w:val="007B270A"/>
    <w:rsid w:val="007C0695"/>
    <w:rsid w:val="007C419A"/>
    <w:rsid w:val="007C4CC8"/>
    <w:rsid w:val="007C5426"/>
    <w:rsid w:val="007C5798"/>
    <w:rsid w:val="007C630F"/>
    <w:rsid w:val="007D4832"/>
    <w:rsid w:val="007E21B2"/>
    <w:rsid w:val="007E2C4E"/>
    <w:rsid w:val="007F1905"/>
    <w:rsid w:val="00801300"/>
    <w:rsid w:val="00802C64"/>
    <w:rsid w:val="00804114"/>
    <w:rsid w:val="00805E52"/>
    <w:rsid w:val="008061D0"/>
    <w:rsid w:val="00807BF8"/>
    <w:rsid w:val="00810B38"/>
    <w:rsid w:val="00816122"/>
    <w:rsid w:val="008204C7"/>
    <w:rsid w:val="00820992"/>
    <w:rsid w:val="00823602"/>
    <w:rsid w:val="008255F5"/>
    <w:rsid w:val="00826BC7"/>
    <w:rsid w:val="0083014E"/>
    <w:rsid w:val="0083214A"/>
    <w:rsid w:val="00834220"/>
    <w:rsid w:val="008355AC"/>
    <w:rsid w:val="00835731"/>
    <w:rsid w:val="00845723"/>
    <w:rsid w:val="00851EF9"/>
    <w:rsid w:val="00853BBC"/>
    <w:rsid w:val="008577FD"/>
    <w:rsid w:val="00860B03"/>
    <w:rsid w:val="0086497A"/>
    <w:rsid w:val="008713A1"/>
    <w:rsid w:val="00873ECF"/>
    <w:rsid w:val="008754AB"/>
    <w:rsid w:val="0088060C"/>
    <w:rsid w:val="008865A7"/>
    <w:rsid w:val="00893576"/>
    <w:rsid w:val="00893E73"/>
    <w:rsid w:val="0089497B"/>
    <w:rsid w:val="008A43C4"/>
    <w:rsid w:val="008B02DC"/>
    <w:rsid w:val="008B4564"/>
    <w:rsid w:val="008B57CE"/>
    <w:rsid w:val="008B659F"/>
    <w:rsid w:val="008C26DE"/>
    <w:rsid w:val="008C55C2"/>
    <w:rsid w:val="008D2225"/>
    <w:rsid w:val="008D4752"/>
    <w:rsid w:val="008D552A"/>
    <w:rsid w:val="008E271C"/>
    <w:rsid w:val="008E418E"/>
    <w:rsid w:val="008E5BC6"/>
    <w:rsid w:val="008E6A25"/>
    <w:rsid w:val="008F5193"/>
    <w:rsid w:val="009013A7"/>
    <w:rsid w:val="009017FB"/>
    <w:rsid w:val="009017FC"/>
    <w:rsid w:val="00903B43"/>
    <w:rsid w:val="0090506B"/>
    <w:rsid w:val="009050C9"/>
    <w:rsid w:val="009066FC"/>
    <w:rsid w:val="009140A3"/>
    <w:rsid w:val="009144A2"/>
    <w:rsid w:val="0091510C"/>
    <w:rsid w:val="009259AC"/>
    <w:rsid w:val="00926F38"/>
    <w:rsid w:val="00930C1B"/>
    <w:rsid w:val="00934301"/>
    <w:rsid w:val="009358CA"/>
    <w:rsid w:val="00936CD1"/>
    <w:rsid w:val="00941747"/>
    <w:rsid w:val="00941EFB"/>
    <w:rsid w:val="00947AFB"/>
    <w:rsid w:val="00951D7D"/>
    <w:rsid w:val="00952C12"/>
    <w:rsid w:val="00962A35"/>
    <w:rsid w:val="009630C7"/>
    <w:rsid w:val="00964BA4"/>
    <w:rsid w:val="00972B55"/>
    <w:rsid w:val="009743B7"/>
    <w:rsid w:val="00975B66"/>
    <w:rsid w:val="0098228B"/>
    <w:rsid w:val="009828DA"/>
    <w:rsid w:val="00985BAB"/>
    <w:rsid w:val="00997F03"/>
    <w:rsid w:val="009A46DF"/>
    <w:rsid w:val="009A7B35"/>
    <w:rsid w:val="009B1B5F"/>
    <w:rsid w:val="009B2EC2"/>
    <w:rsid w:val="009B6673"/>
    <w:rsid w:val="009C191B"/>
    <w:rsid w:val="009C2BD6"/>
    <w:rsid w:val="009E1F32"/>
    <w:rsid w:val="009E5829"/>
    <w:rsid w:val="009E776C"/>
    <w:rsid w:val="009F3440"/>
    <w:rsid w:val="00A102E5"/>
    <w:rsid w:val="00A1726E"/>
    <w:rsid w:val="00A204CF"/>
    <w:rsid w:val="00A23D49"/>
    <w:rsid w:val="00A27004"/>
    <w:rsid w:val="00A30C29"/>
    <w:rsid w:val="00A34DD6"/>
    <w:rsid w:val="00A36819"/>
    <w:rsid w:val="00A36989"/>
    <w:rsid w:val="00A43628"/>
    <w:rsid w:val="00A50981"/>
    <w:rsid w:val="00A54192"/>
    <w:rsid w:val="00A575DD"/>
    <w:rsid w:val="00A6035E"/>
    <w:rsid w:val="00A6144C"/>
    <w:rsid w:val="00A66617"/>
    <w:rsid w:val="00A671F8"/>
    <w:rsid w:val="00A673A4"/>
    <w:rsid w:val="00A706B0"/>
    <w:rsid w:val="00A724AE"/>
    <w:rsid w:val="00A73329"/>
    <w:rsid w:val="00A82359"/>
    <w:rsid w:val="00A865D2"/>
    <w:rsid w:val="00A94055"/>
    <w:rsid w:val="00A94C20"/>
    <w:rsid w:val="00A9538E"/>
    <w:rsid w:val="00A96ED6"/>
    <w:rsid w:val="00A97E53"/>
    <w:rsid w:val="00AA227F"/>
    <w:rsid w:val="00AA3BC7"/>
    <w:rsid w:val="00AA754A"/>
    <w:rsid w:val="00AB099E"/>
    <w:rsid w:val="00AB38FC"/>
    <w:rsid w:val="00AB4328"/>
    <w:rsid w:val="00AB5FA0"/>
    <w:rsid w:val="00AC57B5"/>
    <w:rsid w:val="00AC5DF2"/>
    <w:rsid w:val="00AC7A4A"/>
    <w:rsid w:val="00AE0A2E"/>
    <w:rsid w:val="00AE354C"/>
    <w:rsid w:val="00AF4B07"/>
    <w:rsid w:val="00AF6186"/>
    <w:rsid w:val="00AF7A3A"/>
    <w:rsid w:val="00B05B5F"/>
    <w:rsid w:val="00B15B38"/>
    <w:rsid w:val="00B160DB"/>
    <w:rsid w:val="00B20836"/>
    <w:rsid w:val="00B235BB"/>
    <w:rsid w:val="00B25866"/>
    <w:rsid w:val="00B26C20"/>
    <w:rsid w:val="00B26E0A"/>
    <w:rsid w:val="00B27A44"/>
    <w:rsid w:val="00B30BBF"/>
    <w:rsid w:val="00B33C03"/>
    <w:rsid w:val="00B44E56"/>
    <w:rsid w:val="00B46543"/>
    <w:rsid w:val="00B47D33"/>
    <w:rsid w:val="00B52BE0"/>
    <w:rsid w:val="00B54133"/>
    <w:rsid w:val="00B637B9"/>
    <w:rsid w:val="00B701ED"/>
    <w:rsid w:val="00B7159C"/>
    <w:rsid w:val="00B724AF"/>
    <w:rsid w:val="00B73F14"/>
    <w:rsid w:val="00B8086C"/>
    <w:rsid w:val="00B861B4"/>
    <w:rsid w:val="00B862DA"/>
    <w:rsid w:val="00B86DFE"/>
    <w:rsid w:val="00B90990"/>
    <w:rsid w:val="00B922FF"/>
    <w:rsid w:val="00B9281E"/>
    <w:rsid w:val="00B93925"/>
    <w:rsid w:val="00B95187"/>
    <w:rsid w:val="00BA19F0"/>
    <w:rsid w:val="00BA2D55"/>
    <w:rsid w:val="00BA71B1"/>
    <w:rsid w:val="00BB0617"/>
    <w:rsid w:val="00BB0637"/>
    <w:rsid w:val="00BB345F"/>
    <w:rsid w:val="00BB5883"/>
    <w:rsid w:val="00BB68EA"/>
    <w:rsid w:val="00BC1C27"/>
    <w:rsid w:val="00BC2C79"/>
    <w:rsid w:val="00BC6BBF"/>
    <w:rsid w:val="00BD1572"/>
    <w:rsid w:val="00BE14E3"/>
    <w:rsid w:val="00BE3774"/>
    <w:rsid w:val="00BE41E5"/>
    <w:rsid w:val="00BF075F"/>
    <w:rsid w:val="00BF0BBB"/>
    <w:rsid w:val="00BF4109"/>
    <w:rsid w:val="00BF4CC3"/>
    <w:rsid w:val="00C054C7"/>
    <w:rsid w:val="00C057B5"/>
    <w:rsid w:val="00C16FD1"/>
    <w:rsid w:val="00C212B9"/>
    <w:rsid w:val="00C22687"/>
    <w:rsid w:val="00C32E4D"/>
    <w:rsid w:val="00C333A0"/>
    <w:rsid w:val="00C36A81"/>
    <w:rsid w:val="00C41974"/>
    <w:rsid w:val="00C447AD"/>
    <w:rsid w:val="00C44B22"/>
    <w:rsid w:val="00C53F4A"/>
    <w:rsid w:val="00C54125"/>
    <w:rsid w:val="00C55B54"/>
    <w:rsid w:val="00C6098E"/>
    <w:rsid w:val="00C6152C"/>
    <w:rsid w:val="00C621C2"/>
    <w:rsid w:val="00C62ADA"/>
    <w:rsid w:val="00C65B3C"/>
    <w:rsid w:val="00C74810"/>
    <w:rsid w:val="00C90D68"/>
    <w:rsid w:val="00C939FE"/>
    <w:rsid w:val="00CA4BDA"/>
    <w:rsid w:val="00CA5112"/>
    <w:rsid w:val="00CB0EAD"/>
    <w:rsid w:val="00CB1F66"/>
    <w:rsid w:val="00CB2951"/>
    <w:rsid w:val="00CD282B"/>
    <w:rsid w:val="00CD4C35"/>
    <w:rsid w:val="00CD4D03"/>
    <w:rsid w:val="00CD7369"/>
    <w:rsid w:val="00CE0B0E"/>
    <w:rsid w:val="00CE3831"/>
    <w:rsid w:val="00D00ABB"/>
    <w:rsid w:val="00D02EEC"/>
    <w:rsid w:val="00D03551"/>
    <w:rsid w:val="00D06A63"/>
    <w:rsid w:val="00D0737F"/>
    <w:rsid w:val="00D07E0E"/>
    <w:rsid w:val="00D11478"/>
    <w:rsid w:val="00D15ED0"/>
    <w:rsid w:val="00D21B3E"/>
    <w:rsid w:val="00D21FED"/>
    <w:rsid w:val="00D24251"/>
    <w:rsid w:val="00D3335B"/>
    <w:rsid w:val="00D337E9"/>
    <w:rsid w:val="00D343E2"/>
    <w:rsid w:val="00D361A2"/>
    <w:rsid w:val="00D404B3"/>
    <w:rsid w:val="00D44C2E"/>
    <w:rsid w:val="00D45414"/>
    <w:rsid w:val="00D5222F"/>
    <w:rsid w:val="00D53BEA"/>
    <w:rsid w:val="00D53C0F"/>
    <w:rsid w:val="00D545BF"/>
    <w:rsid w:val="00D566BD"/>
    <w:rsid w:val="00D57A4D"/>
    <w:rsid w:val="00D60AA7"/>
    <w:rsid w:val="00D60D87"/>
    <w:rsid w:val="00D6435F"/>
    <w:rsid w:val="00D75E28"/>
    <w:rsid w:val="00D772C2"/>
    <w:rsid w:val="00D8008E"/>
    <w:rsid w:val="00D80C44"/>
    <w:rsid w:val="00D82C45"/>
    <w:rsid w:val="00D835EA"/>
    <w:rsid w:val="00D908A8"/>
    <w:rsid w:val="00D977B6"/>
    <w:rsid w:val="00DA4A31"/>
    <w:rsid w:val="00DA61F2"/>
    <w:rsid w:val="00DA7B04"/>
    <w:rsid w:val="00DB36C2"/>
    <w:rsid w:val="00DB7196"/>
    <w:rsid w:val="00DC169B"/>
    <w:rsid w:val="00DC2AB9"/>
    <w:rsid w:val="00DC61BC"/>
    <w:rsid w:val="00DC63F0"/>
    <w:rsid w:val="00DD6EE5"/>
    <w:rsid w:val="00DD7064"/>
    <w:rsid w:val="00DE10E0"/>
    <w:rsid w:val="00DE1B8E"/>
    <w:rsid w:val="00DE386C"/>
    <w:rsid w:val="00DE4D35"/>
    <w:rsid w:val="00DF0549"/>
    <w:rsid w:val="00DF098B"/>
    <w:rsid w:val="00DF11C4"/>
    <w:rsid w:val="00DF210C"/>
    <w:rsid w:val="00DF4684"/>
    <w:rsid w:val="00DF4B6A"/>
    <w:rsid w:val="00E00E5F"/>
    <w:rsid w:val="00E02C09"/>
    <w:rsid w:val="00E04D59"/>
    <w:rsid w:val="00E07DA1"/>
    <w:rsid w:val="00E123CB"/>
    <w:rsid w:val="00E1557C"/>
    <w:rsid w:val="00E20E13"/>
    <w:rsid w:val="00E21DBC"/>
    <w:rsid w:val="00E22BDA"/>
    <w:rsid w:val="00E275D7"/>
    <w:rsid w:val="00E277E8"/>
    <w:rsid w:val="00E27DBE"/>
    <w:rsid w:val="00E32AB1"/>
    <w:rsid w:val="00E36C71"/>
    <w:rsid w:val="00E40404"/>
    <w:rsid w:val="00E4443F"/>
    <w:rsid w:val="00E459C6"/>
    <w:rsid w:val="00E47589"/>
    <w:rsid w:val="00E53F69"/>
    <w:rsid w:val="00E64915"/>
    <w:rsid w:val="00E661D4"/>
    <w:rsid w:val="00E70091"/>
    <w:rsid w:val="00E720F5"/>
    <w:rsid w:val="00E7433A"/>
    <w:rsid w:val="00E74C6A"/>
    <w:rsid w:val="00E76D47"/>
    <w:rsid w:val="00E849F7"/>
    <w:rsid w:val="00E85C7D"/>
    <w:rsid w:val="00E90302"/>
    <w:rsid w:val="00E90785"/>
    <w:rsid w:val="00E9597F"/>
    <w:rsid w:val="00E970FD"/>
    <w:rsid w:val="00E97396"/>
    <w:rsid w:val="00EA0B86"/>
    <w:rsid w:val="00EA185E"/>
    <w:rsid w:val="00EA592A"/>
    <w:rsid w:val="00EB14E4"/>
    <w:rsid w:val="00EB32A5"/>
    <w:rsid w:val="00EB34ED"/>
    <w:rsid w:val="00EB7BE0"/>
    <w:rsid w:val="00EC315E"/>
    <w:rsid w:val="00ED077C"/>
    <w:rsid w:val="00ED1190"/>
    <w:rsid w:val="00ED6544"/>
    <w:rsid w:val="00ED7063"/>
    <w:rsid w:val="00EE0277"/>
    <w:rsid w:val="00EE1DA9"/>
    <w:rsid w:val="00EE3E00"/>
    <w:rsid w:val="00EE5DD2"/>
    <w:rsid w:val="00EE76EC"/>
    <w:rsid w:val="00EF41F1"/>
    <w:rsid w:val="00EF4F08"/>
    <w:rsid w:val="00F00A79"/>
    <w:rsid w:val="00F00E86"/>
    <w:rsid w:val="00F00F8B"/>
    <w:rsid w:val="00F01871"/>
    <w:rsid w:val="00F03286"/>
    <w:rsid w:val="00F07C1E"/>
    <w:rsid w:val="00F104B6"/>
    <w:rsid w:val="00F105DB"/>
    <w:rsid w:val="00F132BC"/>
    <w:rsid w:val="00F13D80"/>
    <w:rsid w:val="00F16AAA"/>
    <w:rsid w:val="00F173BF"/>
    <w:rsid w:val="00F21161"/>
    <w:rsid w:val="00F218EF"/>
    <w:rsid w:val="00F21BC7"/>
    <w:rsid w:val="00F266A2"/>
    <w:rsid w:val="00F2777B"/>
    <w:rsid w:val="00F32269"/>
    <w:rsid w:val="00F35FA4"/>
    <w:rsid w:val="00F41178"/>
    <w:rsid w:val="00F4457E"/>
    <w:rsid w:val="00F56A6F"/>
    <w:rsid w:val="00F5709C"/>
    <w:rsid w:val="00F641C8"/>
    <w:rsid w:val="00F64EF1"/>
    <w:rsid w:val="00F77AA8"/>
    <w:rsid w:val="00F8765F"/>
    <w:rsid w:val="00F90767"/>
    <w:rsid w:val="00F97CE8"/>
    <w:rsid w:val="00FA685B"/>
    <w:rsid w:val="00FB0C01"/>
    <w:rsid w:val="00FC18F2"/>
    <w:rsid w:val="00FC39E5"/>
    <w:rsid w:val="00FC3A78"/>
    <w:rsid w:val="00FC5FFE"/>
    <w:rsid w:val="00FD1005"/>
    <w:rsid w:val="00FD1414"/>
    <w:rsid w:val="00FD3180"/>
    <w:rsid w:val="00FD3673"/>
    <w:rsid w:val="00FD5D6F"/>
    <w:rsid w:val="00FD6C75"/>
    <w:rsid w:val="00FE71B3"/>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AC7A4A"/>
    <w:pPr>
      <w:jc w:val="both"/>
    </w:pPr>
    <w:rPr>
      <w:rFonts w:eastAsiaTheme="minorEastAsia"/>
      <w:sz w:val="24"/>
    </w:rPr>
  </w:style>
  <w:style w:type="paragraph" w:styleId="Heading1">
    <w:name w:val="heading 1"/>
    <w:basedOn w:val="Normal"/>
    <w:next w:val="Normal"/>
    <w:link w:val="Heading1Char"/>
    <w:uiPriority w:val="99"/>
    <w:semiHidden/>
    <w:rsid w:val="00AC7A4A"/>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AC7A4A"/>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AC7A4A"/>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AC7A4A"/>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AC7A4A"/>
    <w:pPr>
      <w:spacing w:before="200"/>
      <w:outlineLvl w:val="4"/>
    </w:pPr>
    <w:rPr>
      <w:rFonts w:asciiTheme="majorHAnsi" w:eastAsiaTheme="majorEastAsia" w:hAnsiTheme="majorHAnsi" w:cstheme="majorBidi"/>
      <w:b/>
      <w:bCs/>
      <w:color w:val="808080"/>
      <w:sz w:val="22"/>
    </w:rPr>
  </w:style>
  <w:style w:type="paragraph" w:styleId="Heading6">
    <w:name w:val="heading 6"/>
    <w:basedOn w:val="Normal"/>
    <w:next w:val="Normal"/>
    <w:link w:val="Heading6Char"/>
    <w:uiPriority w:val="99"/>
    <w:semiHidden/>
    <w:rsid w:val="00AC7A4A"/>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AC7A4A"/>
    <w:pPr>
      <w:outlineLvl w:val="6"/>
    </w:pPr>
    <w:rPr>
      <w:rFonts w:asciiTheme="majorHAnsi" w:eastAsiaTheme="majorEastAsia" w:hAnsiTheme="majorHAnsi" w:cstheme="majorBidi"/>
      <w:i/>
      <w:iCs/>
      <w:sz w:val="22"/>
      <w:lang w:bidi="en-US"/>
    </w:rPr>
  </w:style>
  <w:style w:type="paragraph" w:styleId="Heading8">
    <w:name w:val="heading 8"/>
    <w:basedOn w:val="Normal"/>
    <w:next w:val="Normal"/>
    <w:link w:val="Heading8Char"/>
    <w:uiPriority w:val="99"/>
    <w:semiHidden/>
    <w:qFormat/>
    <w:rsid w:val="00AC7A4A"/>
    <w:pPr>
      <w:outlineLvl w:val="7"/>
    </w:pPr>
    <w:rPr>
      <w:rFonts w:asciiTheme="majorHAnsi" w:eastAsiaTheme="majorEastAsia" w:hAnsiTheme="majorHAnsi" w:cstheme="majorBidi"/>
      <w:sz w:val="20"/>
      <w:szCs w:val="20"/>
      <w:lang w:bidi="en-US"/>
    </w:rPr>
  </w:style>
  <w:style w:type="paragraph" w:styleId="Heading9">
    <w:name w:val="heading 9"/>
    <w:basedOn w:val="Normal"/>
    <w:next w:val="Normal"/>
    <w:link w:val="Heading9Char"/>
    <w:uiPriority w:val="99"/>
    <w:semiHidden/>
    <w:qFormat/>
    <w:rsid w:val="00AC7A4A"/>
    <w:pPr>
      <w:outlineLvl w:val="8"/>
    </w:pPr>
    <w:rPr>
      <w:rFonts w:asciiTheme="majorHAnsi" w:eastAsiaTheme="majorEastAsia" w:hAnsiTheme="majorHAnsi" w:cstheme="majorBidi"/>
      <w:i/>
      <w:iCs/>
      <w:spacing w:val="5"/>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C7A4A"/>
    <w:rPr>
      <w:rFonts w:ascii="Tahoma" w:hAnsi="Tahoma" w:cs="Tahoma"/>
      <w:sz w:val="16"/>
      <w:szCs w:val="16"/>
    </w:rPr>
  </w:style>
  <w:style w:type="character" w:customStyle="1" w:styleId="BalloonTextChar">
    <w:name w:val="Balloon Text Char"/>
    <w:basedOn w:val="DefaultParagraphFont"/>
    <w:link w:val="BalloonText"/>
    <w:uiPriority w:val="99"/>
    <w:semiHidden/>
    <w:rsid w:val="00AC7A4A"/>
    <w:rPr>
      <w:rFonts w:ascii="Tahoma" w:eastAsiaTheme="minorEastAsia" w:hAnsi="Tahoma" w:cs="Tahoma"/>
      <w:sz w:val="16"/>
      <w:szCs w:val="16"/>
    </w:rPr>
  </w:style>
  <w:style w:type="character" w:styleId="BookTitle">
    <w:name w:val="Book Title"/>
    <w:uiPriority w:val="99"/>
    <w:semiHidden/>
    <w:qFormat/>
    <w:rsid w:val="00AC7A4A"/>
    <w:rPr>
      <w:i/>
      <w:iCs/>
      <w:smallCaps/>
      <w:spacing w:val="5"/>
    </w:rPr>
  </w:style>
  <w:style w:type="paragraph" w:customStyle="1" w:styleId="ECHRHeader">
    <w:name w:val="ECHR_Header"/>
    <w:aliases w:val="Ju_Header"/>
    <w:basedOn w:val="Header"/>
    <w:uiPriority w:val="4"/>
    <w:qFormat/>
    <w:rsid w:val="00AC7A4A"/>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AC7A4A"/>
    <w:pPr>
      <w:jc w:val="left"/>
    </w:pPr>
    <w:rPr>
      <w:sz w:val="8"/>
    </w:rPr>
  </w:style>
  <w:style w:type="character" w:styleId="Strong">
    <w:name w:val="Strong"/>
    <w:uiPriority w:val="99"/>
    <w:semiHidden/>
    <w:qFormat/>
    <w:rsid w:val="00AC7A4A"/>
    <w:rPr>
      <w:b/>
      <w:bCs/>
    </w:rPr>
  </w:style>
  <w:style w:type="paragraph" w:styleId="NoSpacing">
    <w:name w:val="No Spacing"/>
    <w:basedOn w:val="Normal"/>
    <w:link w:val="NoSpacingChar"/>
    <w:semiHidden/>
    <w:qFormat/>
    <w:rsid w:val="00AC7A4A"/>
    <w:rPr>
      <w:sz w:val="22"/>
    </w:rPr>
  </w:style>
  <w:style w:type="character" w:customStyle="1" w:styleId="NoSpacingChar">
    <w:name w:val="No Spacing Char"/>
    <w:basedOn w:val="DefaultParagraphFont"/>
    <w:link w:val="NoSpacing"/>
    <w:semiHidden/>
    <w:rsid w:val="00AC7A4A"/>
    <w:rPr>
      <w:rFonts w:eastAsiaTheme="minorEastAsia"/>
    </w:rPr>
  </w:style>
  <w:style w:type="paragraph" w:customStyle="1" w:styleId="ECHRFooterLine">
    <w:name w:val="ECHR_Footer_Line"/>
    <w:aliases w:val="Footer_Line"/>
    <w:basedOn w:val="Normal"/>
    <w:next w:val="ECHRFooter"/>
    <w:uiPriority w:val="57"/>
    <w:semiHidden/>
    <w:rsid w:val="00AC7A4A"/>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AC7A4A"/>
  </w:style>
  <w:style w:type="paragraph" w:customStyle="1" w:styleId="DecList">
    <w:name w:val="Dec_List"/>
    <w:basedOn w:val="Normal"/>
    <w:uiPriority w:val="9"/>
    <w:semiHidden/>
    <w:qFormat/>
    <w:rsid w:val="00AC7A4A"/>
    <w:pPr>
      <w:spacing w:before="240"/>
      <w:ind w:left="284"/>
    </w:pPr>
  </w:style>
  <w:style w:type="paragraph" w:customStyle="1" w:styleId="DummyStyle">
    <w:name w:val="Dummy_Style"/>
    <w:basedOn w:val="Normal"/>
    <w:semiHidden/>
    <w:qFormat/>
    <w:rsid w:val="00AC7A4A"/>
    <w:rPr>
      <w:color w:val="00B050"/>
    </w:rPr>
  </w:style>
  <w:style w:type="paragraph" w:customStyle="1" w:styleId="ECHRTitleCentre3">
    <w:name w:val="ECHR_Title_Centre_3"/>
    <w:aliases w:val="Ju_H_Article"/>
    <w:basedOn w:val="Normal"/>
    <w:next w:val="ECHRParaQuote"/>
    <w:uiPriority w:val="27"/>
    <w:qFormat/>
    <w:rsid w:val="00AC7A4A"/>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AC7A4A"/>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AC7A4A"/>
    <w:pPr>
      <w:numPr>
        <w:numId w:val="21"/>
      </w:numPr>
      <w:jc w:val="left"/>
    </w:pPr>
    <w:rPr>
      <w:b/>
    </w:rPr>
  </w:style>
  <w:style w:type="paragraph" w:customStyle="1" w:styleId="JuCourt">
    <w:name w:val="Ju_Court"/>
    <w:basedOn w:val="Normal"/>
    <w:next w:val="Normal"/>
    <w:uiPriority w:val="16"/>
    <w:qFormat/>
    <w:rsid w:val="00AC7A4A"/>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AC7A4A"/>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AC7A4A"/>
    <w:pPr>
      <w:spacing w:after="240"/>
      <w:jc w:val="center"/>
      <w:outlineLvl w:val="0"/>
    </w:pPr>
    <w:rPr>
      <w:rFonts w:asciiTheme="majorHAnsi" w:hAnsiTheme="majorHAnsi"/>
    </w:rPr>
  </w:style>
  <w:style w:type="paragraph" w:customStyle="1" w:styleId="JuInitialled">
    <w:name w:val="Ju_Initialled"/>
    <w:basedOn w:val="Normal"/>
    <w:uiPriority w:val="31"/>
    <w:qFormat/>
    <w:rsid w:val="00AC7A4A"/>
    <w:pPr>
      <w:tabs>
        <w:tab w:val="center" w:pos="6407"/>
      </w:tabs>
      <w:spacing w:before="720"/>
      <w:jc w:val="right"/>
    </w:pPr>
  </w:style>
  <w:style w:type="paragraph" w:styleId="Title">
    <w:name w:val="Title"/>
    <w:basedOn w:val="Normal"/>
    <w:next w:val="Normal"/>
    <w:link w:val="TitleChar"/>
    <w:uiPriority w:val="99"/>
    <w:semiHidden/>
    <w:qFormat/>
    <w:rsid w:val="00AC7A4A"/>
    <w:pPr>
      <w:pBdr>
        <w:bottom w:val="single" w:sz="4" w:space="1" w:color="auto"/>
      </w:pBdr>
      <w:contextualSpacing/>
    </w:pPr>
    <w:rPr>
      <w:rFonts w:asciiTheme="majorHAnsi" w:eastAsiaTheme="majorEastAsia" w:hAnsiTheme="majorHAnsi" w:cstheme="majorBidi"/>
      <w:spacing w:val="5"/>
      <w:sz w:val="52"/>
      <w:szCs w:val="52"/>
      <w:lang w:bidi="en-US"/>
    </w:rPr>
  </w:style>
  <w:style w:type="character" w:customStyle="1" w:styleId="TitleChar">
    <w:name w:val="Title Char"/>
    <w:basedOn w:val="DefaultParagraphFont"/>
    <w:link w:val="Title"/>
    <w:uiPriority w:val="99"/>
    <w:semiHidden/>
    <w:rsid w:val="00AC7A4A"/>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AC7A4A"/>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AC7A4A"/>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AC7A4A"/>
    <w:pPr>
      <w:keepNext/>
      <w:keepLines/>
      <w:tabs>
        <w:tab w:val="left" w:pos="1191"/>
      </w:tabs>
      <w:spacing w:before="240" w:after="120"/>
      <w:ind w:left="1190" w:hanging="357"/>
    </w:pPr>
    <w:rPr>
      <w:b w:val="0"/>
      <w:i/>
      <w:color w:val="auto"/>
      <w:sz w:val="20"/>
    </w:rPr>
  </w:style>
  <w:style w:type="paragraph" w:customStyle="1" w:styleId="ECHRHeading6">
    <w:name w:val="ECHR_Heading_6"/>
    <w:aliases w:val="Ju_H_alpha"/>
    <w:basedOn w:val="Heading6"/>
    <w:next w:val="ECHRPara"/>
    <w:uiPriority w:val="24"/>
    <w:qFormat/>
    <w:rsid w:val="00AC7A4A"/>
    <w:pPr>
      <w:keepNext/>
      <w:keepLines/>
      <w:tabs>
        <w:tab w:val="left" w:pos="1372"/>
      </w:tabs>
      <w:spacing w:before="240" w:after="120" w:line="240" w:lineRule="auto"/>
      <w:ind w:left="1373" w:hanging="335"/>
    </w:pPr>
    <w:rPr>
      <w:b w:val="0"/>
      <w:color w:val="auto"/>
      <w:sz w:val="20"/>
    </w:rPr>
  </w:style>
  <w:style w:type="paragraph" w:customStyle="1" w:styleId="ECHRHeading7">
    <w:name w:val="ECHR_Heading_7"/>
    <w:aliases w:val="Ju_H_–"/>
    <w:basedOn w:val="Heading7"/>
    <w:next w:val="ECHRPara"/>
    <w:uiPriority w:val="25"/>
    <w:qFormat/>
    <w:rsid w:val="00AC7A4A"/>
    <w:pPr>
      <w:keepNext/>
      <w:keepLines/>
      <w:spacing w:before="240" w:after="120"/>
      <w:ind w:left="1236"/>
    </w:pPr>
    <w:rPr>
      <w:sz w:val="20"/>
    </w:rPr>
  </w:style>
  <w:style w:type="character" w:customStyle="1" w:styleId="JuITMark">
    <w:name w:val="Ju_ITMark"/>
    <w:basedOn w:val="DefaultParagraphFont"/>
    <w:uiPriority w:val="38"/>
    <w:qFormat/>
    <w:rsid w:val="00AC7A4A"/>
    <w:rPr>
      <w:vanish w:val="0"/>
      <w:color w:val="auto"/>
      <w:sz w:val="14"/>
      <w:bdr w:val="none" w:sz="0" w:space="0" w:color="auto"/>
      <w:shd w:val="clear" w:color="auto" w:fill="BEE5FF" w:themeFill="background1" w:themeFillTint="33"/>
    </w:rPr>
  </w:style>
  <w:style w:type="character" w:customStyle="1" w:styleId="JUNAMES">
    <w:name w:val="JU_NAMES"/>
    <w:uiPriority w:val="17"/>
    <w:qFormat/>
    <w:rsid w:val="00AC7A4A"/>
    <w:rPr>
      <w:caps w:val="0"/>
      <w:smallCaps/>
    </w:rPr>
  </w:style>
  <w:style w:type="paragraph" w:customStyle="1" w:styleId="JuParaSub">
    <w:name w:val="Ju_Para_Sub"/>
    <w:basedOn w:val="ECHRPara"/>
    <w:uiPriority w:val="13"/>
    <w:qFormat/>
    <w:rsid w:val="00AC7A4A"/>
    <w:pPr>
      <w:ind w:left="284"/>
    </w:pPr>
  </w:style>
  <w:style w:type="paragraph" w:styleId="Header">
    <w:name w:val="header"/>
    <w:basedOn w:val="Normal"/>
    <w:link w:val="HeaderChar"/>
    <w:uiPriority w:val="57"/>
    <w:semiHidden/>
    <w:rsid w:val="00AC7A4A"/>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AC7A4A"/>
    <w:rPr>
      <w:sz w:val="24"/>
    </w:rPr>
  </w:style>
  <w:style w:type="character" w:customStyle="1" w:styleId="Heading1Char">
    <w:name w:val="Heading 1 Char"/>
    <w:basedOn w:val="DefaultParagraphFont"/>
    <w:link w:val="Heading1"/>
    <w:uiPriority w:val="99"/>
    <w:semiHidden/>
    <w:rsid w:val="00AC7A4A"/>
    <w:rPr>
      <w:rFonts w:asciiTheme="majorHAnsi" w:eastAsiaTheme="majorEastAsia" w:hAnsiTheme="majorHAnsi" w:cstheme="majorBidi"/>
      <w:b/>
      <w:bCs/>
      <w:color w:val="333333"/>
      <w:sz w:val="28"/>
      <w:szCs w:val="28"/>
    </w:rPr>
  </w:style>
  <w:style w:type="paragraph" w:customStyle="1" w:styleId="ECHRHeading1">
    <w:name w:val="ECHR_Heading_1"/>
    <w:aliases w:val="Ju_H_I_Roman"/>
    <w:basedOn w:val="Heading1"/>
    <w:next w:val="ECHRPara"/>
    <w:uiPriority w:val="19"/>
    <w:qFormat/>
    <w:rsid w:val="00AC7A4A"/>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AC7A4A"/>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AC7A4A"/>
    <w:rPr>
      <w:rFonts w:asciiTheme="majorHAnsi" w:eastAsiaTheme="majorEastAsia" w:hAnsiTheme="majorHAnsi" w:cstheme="majorBidi"/>
      <w:b/>
      <w:bCs/>
      <w:color w:val="4D4D4D"/>
      <w:sz w:val="26"/>
      <w:szCs w:val="26"/>
    </w:rPr>
  </w:style>
  <w:style w:type="paragraph" w:customStyle="1" w:styleId="JuQuotSub">
    <w:name w:val="Ju_Quot_Sub"/>
    <w:basedOn w:val="ECHRParaQuote"/>
    <w:uiPriority w:val="15"/>
    <w:qFormat/>
    <w:rsid w:val="00AC7A4A"/>
    <w:pPr>
      <w:ind w:left="567"/>
    </w:pPr>
  </w:style>
  <w:style w:type="paragraph" w:customStyle="1" w:styleId="JuCase">
    <w:name w:val="Ju_Case"/>
    <w:basedOn w:val="Normal"/>
    <w:next w:val="ECHRPara"/>
    <w:uiPriority w:val="10"/>
    <w:rsid w:val="00AC7A4A"/>
    <w:pPr>
      <w:ind w:firstLine="284"/>
    </w:pPr>
    <w:rPr>
      <w:b/>
    </w:rPr>
  </w:style>
  <w:style w:type="character" w:customStyle="1" w:styleId="Heading3Char">
    <w:name w:val="Heading 3 Char"/>
    <w:basedOn w:val="DefaultParagraphFont"/>
    <w:link w:val="Heading3"/>
    <w:uiPriority w:val="99"/>
    <w:semiHidden/>
    <w:rsid w:val="00AC7A4A"/>
    <w:rPr>
      <w:rFonts w:asciiTheme="majorHAnsi" w:eastAsiaTheme="majorEastAsia" w:hAnsiTheme="majorHAnsi" w:cstheme="majorBidi"/>
      <w:b/>
      <w:bCs/>
      <w:color w:val="5F5F5F"/>
      <w:sz w:val="24"/>
    </w:rPr>
  </w:style>
  <w:style w:type="character" w:customStyle="1" w:styleId="Heading4Char">
    <w:name w:val="Heading 4 Char"/>
    <w:basedOn w:val="DefaultParagraphFont"/>
    <w:link w:val="Heading4"/>
    <w:uiPriority w:val="99"/>
    <w:semiHidden/>
    <w:rsid w:val="00AC7A4A"/>
    <w:rPr>
      <w:rFonts w:asciiTheme="majorHAnsi" w:eastAsiaTheme="majorEastAsia" w:hAnsiTheme="majorHAnsi" w:cstheme="majorBidi"/>
      <w:b/>
      <w:bCs/>
      <w:i/>
      <w:iCs/>
      <w:color w:val="777777"/>
      <w:sz w:val="24"/>
    </w:rPr>
  </w:style>
  <w:style w:type="character" w:customStyle="1" w:styleId="Heading5Char">
    <w:name w:val="Heading 5 Char"/>
    <w:basedOn w:val="DefaultParagraphFont"/>
    <w:link w:val="Heading5"/>
    <w:uiPriority w:val="99"/>
    <w:semiHidden/>
    <w:rsid w:val="00AC7A4A"/>
    <w:rPr>
      <w:rFonts w:asciiTheme="majorHAnsi" w:eastAsiaTheme="majorEastAsia" w:hAnsiTheme="majorHAnsi" w:cstheme="majorBidi"/>
      <w:b/>
      <w:bCs/>
      <w:color w:val="808080"/>
    </w:rPr>
  </w:style>
  <w:style w:type="character" w:styleId="SubtleEmphasis">
    <w:name w:val="Subtle Emphasis"/>
    <w:uiPriority w:val="99"/>
    <w:semiHidden/>
    <w:qFormat/>
    <w:rsid w:val="00AC7A4A"/>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AC7A4A"/>
    <w:pPr>
      <w:keepNext/>
      <w:keepLines/>
      <w:spacing w:before="720" w:after="240"/>
      <w:outlineLvl w:val="0"/>
    </w:pPr>
    <w:rPr>
      <w:rFonts w:asciiTheme="majorHAnsi" w:hAnsiTheme="majorHAnsi"/>
      <w:sz w:val="28"/>
    </w:rPr>
  </w:style>
  <w:style w:type="character" w:styleId="Emphasis">
    <w:name w:val="Emphasis"/>
    <w:uiPriority w:val="99"/>
    <w:semiHidden/>
    <w:qFormat/>
    <w:rsid w:val="00AC7A4A"/>
    <w:rPr>
      <w:b/>
      <w:bCs/>
      <w:i/>
      <w:iCs/>
      <w:spacing w:val="10"/>
      <w:bdr w:val="none" w:sz="0" w:space="0" w:color="auto"/>
      <w:shd w:val="clear" w:color="auto" w:fill="auto"/>
    </w:rPr>
  </w:style>
  <w:style w:type="paragraph" w:styleId="Footer">
    <w:name w:val="footer"/>
    <w:basedOn w:val="Normal"/>
    <w:link w:val="FooterChar"/>
    <w:uiPriority w:val="57"/>
    <w:semiHidden/>
    <w:rsid w:val="00AC7A4A"/>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AC7A4A"/>
    <w:rPr>
      <w:sz w:val="24"/>
    </w:rPr>
  </w:style>
  <w:style w:type="character" w:styleId="FootnoteReference">
    <w:name w:val="footnote reference"/>
    <w:basedOn w:val="DefaultParagraphFont"/>
    <w:uiPriority w:val="99"/>
    <w:semiHidden/>
    <w:rsid w:val="00AC7A4A"/>
    <w:rPr>
      <w:vertAlign w:val="superscript"/>
    </w:rPr>
  </w:style>
  <w:style w:type="paragraph" w:styleId="FootnoteText">
    <w:name w:val="footnote text"/>
    <w:basedOn w:val="Normal"/>
    <w:link w:val="FootnoteTextChar"/>
    <w:uiPriority w:val="99"/>
    <w:semiHidden/>
    <w:rsid w:val="00AC7A4A"/>
    <w:rPr>
      <w:sz w:val="20"/>
      <w:szCs w:val="20"/>
    </w:rPr>
  </w:style>
  <w:style w:type="character" w:customStyle="1" w:styleId="FootnoteTextChar">
    <w:name w:val="Footnote Text Char"/>
    <w:basedOn w:val="DefaultParagraphFont"/>
    <w:link w:val="FootnoteText"/>
    <w:uiPriority w:val="99"/>
    <w:semiHidden/>
    <w:rsid w:val="00AC7A4A"/>
    <w:rPr>
      <w:rFonts w:eastAsiaTheme="minorEastAsia"/>
      <w:sz w:val="20"/>
      <w:szCs w:val="20"/>
    </w:rPr>
  </w:style>
  <w:style w:type="character" w:customStyle="1" w:styleId="Heading6Char">
    <w:name w:val="Heading 6 Char"/>
    <w:basedOn w:val="DefaultParagraphFont"/>
    <w:link w:val="Heading6"/>
    <w:uiPriority w:val="99"/>
    <w:semiHidden/>
    <w:rsid w:val="00AC7A4A"/>
    <w:rPr>
      <w:rFonts w:asciiTheme="majorHAnsi" w:eastAsiaTheme="majorEastAsia" w:hAnsiTheme="majorHAnsi" w:cstheme="majorBidi"/>
      <w:b/>
      <w:bCs/>
      <w:i/>
      <w:iCs/>
      <w:color w:val="7F7F7F" w:themeColor="text1" w:themeTint="80"/>
      <w:sz w:val="24"/>
      <w:lang w:bidi="en-US"/>
    </w:rPr>
  </w:style>
  <w:style w:type="character" w:customStyle="1" w:styleId="Heading7Char">
    <w:name w:val="Heading 7 Char"/>
    <w:basedOn w:val="DefaultParagraphFont"/>
    <w:link w:val="Heading7"/>
    <w:uiPriority w:val="99"/>
    <w:semiHidden/>
    <w:rsid w:val="00AC7A4A"/>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AC7A4A"/>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AC7A4A"/>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AC7A4A"/>
    <w:rPr>
      <w:color w:val="0072BC" w:themeColor="hyperlink"/>
      <w:u w:val="single"/>
    </w:rPr>
  </w:style>
  <w:style w:type="character" w:styleId="IntenseEmphasis">
    <w:name w:val="Intense Emphasis"/>
    <w:uiPriority w:val="99"/>
    <w:semiHidden/>
    <w:qFormat/>
    <w:rsid w:val="00AC7A4A"/>
    <w:rPr>
      <w:b/>
      <w:bCs/>
    </w:rPr>
  </w:style>
  <w:style w:type="paragraph" w:styleId="IntenseQuote">
    <w:name w:val="Intense Quote"/>
    <w:basedOn w:val="Normal"/>
    <w:next w:val="Normal"/>
    <w:link w:val="IntenseQuoteChar"/>
    <w:uiPriority w:val="99"/>
    <w:semiHidden/>
    <w:qFormat/>
    <w:rsid w:val="00AC7A4A"/>
    <w:pPr>
      <w:pBdr>
        <w:bottom w:val="single" w:sz="4" w:space="1" w:color="auto"/>
      </w:pBdr>
      <w:spacing w:before="200" w:after="280"/>
      <w:ind w:left="1008" w:right="1152"/>
    </w:pPr>
    <w:rPr>
      <w:b/>
      <w:bCs/>
      <w:i/>
      <w:iCs/>
      <w:sz w:val="22"/>
      <w:lang w:bidi="en-US"/>
    </w:rPr>
  </w:style>
  <w:style w:type="character" w:customStyle="1" w:styleId="IntenseQuoteChar">
    <w:name w:val="Intense Quote Char"/>
    <w:basedOn w:val="DefaultParagraphFont"/>
    <w:link w:val="IntenseQuote"/>
    <w:uiPriority w:val="99"/>
    <w:semiHidden/>
    <w:rsid w:val="00AC7A4A"/>
    <w:rPr>
      <w:rFonts w:eastAsiaTheme="minorEastAsia"/>
      <w:b/>
      <w:bCs/>
      <w:i/>
      <w:iCs/>
      <w:lang w:bidi="en-US"/>
    </w:rPr>
  </w:style>
  <w:style w:type="character" w:styleId="IntenseReference">
    <w:name w:val="Intense Reference"/>
    <w:uiPriority w:val="99"/>
    <w:semiHidden/>
    <w:qFormat/>
    <w:rsid w:val="00AC7A4A"/>
    <w:rPr>
      <w:smallCaps/>
      <w:spacing w:val="5"/>
      <w:u w:val="single"/>
    </w:rPr>
  </w:style>
  <w:style w:type="paragraph" w:styleId="ListParagraph">
    <w:name w:val="List Paragraph"/>
    <w:basedOn w:val="Normal"/>
    <w:uiPriority w:val="99"/>
    <w:semiHidden/>
    <w:qFormat/>
    <w:rsid w:val="00AC7A4A"/>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AC7A4A"/>
    <w:pPr>
      <w:spacing w:before="200"/>
      <w:ind w:left="360" w:right="360"/>
    </w:pPr>
    <w:rPr>
      <w:i/>
      <w:iCs/>
      <w:sz w:val="22"/>
      <w:lang w:bidi="en-US"/>
    </w:rPr>
  </w:style>
  <w:style w:type="character" w:customStyle="1" w:styleId="QuoteChar">
    <w:name w:val="Quote Char"/>
    <w:basedOn w:val="DefaultParagraphFont"/>
    <w:link w:val="Quote"/>
    <w:uiPriority w:val="99"/>
    <w:semiHidden/>
    <w:rsid w:val="00AC7A4A"/>
    <w:rPr>
      <w:rFonts w:eastAsiaTheme="minorEastAsia"/>
      <w:i/>
      <w:iCs/>
      <w:lang w:bidi="en-US"/>
    </w:rPr>
  </w:style>
  <w:style w:type="character" w:styleId="SubtleReference">
    <w:name w:val="Subtle Reference"/>
    <w:uiPriority w:val="99"/>
    <w:semiHidden/>
    <w:qFormat/>
    <w:rsid w:val="00AC7A4A"/>
    <w:rPr>
      <w:smallCaps/>
    </w:rPr>
  </w:style>
  <w:style w:type="table" w:styleId="TableGrid">
    <w:name w:val="Table Grid"/>
    <w:basedOn w:val="TableNormal"/>
    <w:uiPriority w:val="59"/>
    <w:semiHidden/>
    <w:rsid w:val="00AC7A4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AC7A4A"/>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AC7A4A"/>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AC7A4A"/>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AC7A4A"/>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AC7A4A"/>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AC7A4A"/>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AC7A4A"/>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AC7A4A"/>
    <w:pPr>
      <w:spacing w:before="120" w:after="120"/>
      <w:ind w:left="425" w:firstLine="142"/>
    </w:pPr>
    <w:rPr>
      <w:sz w:val="20"/>
    </w:rPr>
  </w:style>
  <w:style w:type="paragraph" w:customStyle="1" w:styleId="ECHRPara">
    <w:name w:val="ECHR_Para"/>
    <w:aliases w:val="Ju_Para"/>
    <w:basedOn w:val="Normal"/>
    <w:link w:val="ECHRParaChar"/>
    <w:uiPriority w:val="12"/>
    <w:qFormat/>
    <w:rsid w:val="00AC7A4A"/>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AC7A4A"/>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AC7A4A"/>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AC7A4A"/>
    <w:pPr>
      <w:ind w:left="340" w:hanging="340"/>
    </w:pPr>
  </w:style>
  <w:style w:type="paragraph" w:customStyle="1" w:styleId="JuSigned">
    <w:name w:val="Ju_Signed"/>
    <w:basedOn w:val="Normal"/>
    <w:next w:val="JuParaLast"/>
    <w:uiPriority w:val="32"/>
    <w:qFormat/>
    <w:rsid w:val="00AC7A4A"/>
    <w:pPr>
      <w:tabs>
        <w:tab w:val="center" w:pos="851"/>
        <w:tab w:val="center" w:pos="6407"/>
      </w:tabs>
      <w:spacing w:before="720"/>
      <w:jc w:val="left"/>
    </w:pPr>
  </w:style>
  <w:style w:type="paragraph" w:customStyle="1" w:styleId="JuParaLast">
    <w:name w:val="Ju_Para_Last"/>
    <w:basedOn w:val="Normal"/>
    <w:next w:val="ECHRPara"/>
    <w:uiPriority w:val="30"/>
    <w:qFormat/>
    <w:rsid w:val="00AC7A4A"/>
    <w:pPr>
      <w:keepNext/>
      <w:keepLines/>
      <w:spacing w:before="240"/>
      <w:ind w:firstLine="284"/>
    </w:pPr>
  </w:style>
  <w:style w:type="paragraph" w:customStyle="1" w:styleId="JuTitle">
    <w:name w:val="Ju_Title"/>
    <w:basedOn w:val="Normal"/>
    <w:next w:val="ECHRPara"/>
    <w:uiPriority w:val="3"/>
    <w:semiHidden/>
    <w:qFormat/>
    <w:rsid w:val="00AC7A4A"/>
    <w:pPr>
      <w:spacing w:before="720" w:after="240"/>
      <w:jc w:val="center"/>
      <w:outlineLvl w:val="0"/>
    </w:pPr>
    <w:rPr>
      <w:rFonts w:asciiTheme="majorHAnsi" w:hAnsiTheme="majorHAnsi"/>
      <w:b/>
      <w:caps/>
    </w:r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AC7A4A"/>
    <w:pPr>
      <w:ind w:left="346" w:firstLine="0"/>
    </w:pPr>
  </w:style>
  <w:style w:type="paragraph" w:customStyle="1" w:styleId="JuListi">
    <w:name w:val="Ju_List_i"/>
    <w:basedOn w:val="Normal"/>
    <w:next w:val="JuLista"/>
    <w:uiPriority w:val="28"/>
    <w:qFormat/>
    <w:rsid w:val="00AC7A4A"/>
    <w:pPr>
      <w:ind w:left="794"/>
    </w:p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semiHidden/>
    <w:rsid w:val="00014566"/>
    <w:rPr>
      <w:sz w:val="20"/>
    </w:rPr>
  </w:style>
  <w:style w:type="character" w:customStyle="1" w:styleId="CommentTextChar">
    <w:name w:val="Comment Text Char"/>
    <w:basedOn w:val="DefaultParagraphFont"/>
    <w:link w:val="CommentText"/>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uiPriority w:val="99"/>
    <w:semiHidden/>
    <w:rsid w:val="00014566"/>
    <w:rPr>
      <w:vertAlign w:val="superscript"/>
    </w:rPr>
  </w:style>
  <w:style w:type="paragraph" w:styleId="EndnoteText">
    <w:name w:val="endnote text"/>
    <w:basedOn w:val="Normal"/>
    <w:link w:val="EndnoteTextChar"/>
    <w:uiPriority w:val="99"/>
    <w:semiHidden/>
    <w:rsid w:val="00014566"/>
    <w:rPr>
      <w:sz w:val="20"/>
    </w:rPr>
  </w:style>
  <w:style w:type="character" w:customStyle="1" w:styleId="EndnoteTextChar">
    <w:name w:val="Endnote Text Char"/>
    <w:basedOn w:val="DefaultParagraphFont"/>
    <w:link w:val="EndnoteText"/>
    <w:uiPriority w:val="99"/>
    <w:semiHidden/>
    <w:rsid w:val="00014566"/>
    <w:rPr>
      <w:rFonts w:eastAsiaTheme="minorEastAsia"/>
      <w:sz w:val="20"/>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AC7A4A"/>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AC7A4A"/>
    <w:pPr>
      <w:ind w:left="833" w:hanging="357"/>
      <w:outlineLvl w:val="3"/>
    </w:pPr>
    <w:rPr>
      <w:b/>
      <w:i w:val="0"/>
      <w:sz w:val="20"/>
    </w:rPr>
  </w:style>
  <w:style w:type="paragraph" w:styleId="Subtitle">
    <w:name w:val="Subtitle"/>
    <w:basedOn w:val="Normal"/>
    <w:next w:val="Normal"/>
    <w:link w:val="SubtitleChar"/>
    <w:uiPriority w:val="99"/>
    <w:semiHidden/>
    <w:qFormat/>
    <w:rsid w:val="00AC7A4A"/>
    <w:pPr>
      <w:spacing w:after="600"/>
    </w:pPr>
    <w:rPr>
      <w:rFonts w:asciiTheme="majorHAnsi" w:eastAsiaTheme="majorEastAsia" w:hAnsiTheme="majorHAnsi" w:cstheme="majorBidi"/>
      <w:i/>
      <w:iCs/>
      <w:spacing w:val="13"/>
      <w:szCs w:val="24"/>
      <w:lang w:bidi="en-US"/>
    </w:rPr>
  </w:style>
  <w:style w:type="character" w:customStyle="1" w:styleId="SubtitleChar">
    <w:name w:val="Subtitle Char"/>
    <w:basedOn w:val="DefaultParagraphFont"/>
    <w:link w:val="Subtitle"/>
    <w:uiPriority w:val="99"/>
    <w:semiHidden/>
    <w:rsid w:val="00AC7A4A"/>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AC7A4A"/>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AC7A4A"/>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AC7A4A"/>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AC7A4A"/>
    <w:pPr>
      <w:tabs>
        <w:tab w:val="clear" w:pos="357"/>
      </w:tabs>
      <w:outlineLvl w:val="1"/>
    </w:pPr>
    <w:rPr>
      <w:b/>
    </w:rPr>
  </w:style>
  <w:style w:type="paragraph" w:customStyle="1" w:styleId="OpiHi">
    <w:name w:val="Opi_H_i"/>
    <w:basedOn w:val="ECHRHeading4"/>
    <w:uiPriority w:val="44"/>
    <w:qFormat/>
    <w:rsid w:val="00AC7A4A"/>
    <w:pPr>
      <w:ind w:left="1037" w:hanging="357"/>
      <w:outlineLvl w:val="4"/>
    </w:pPr>
    <w:rPr>
      <w:b w:val="0"/>
      <w:i/>
    </w:rPr>
  </w:style>
  <w:style w:type="paragraph" w:customStyle="1" w:styleId="OpiPara">
    <w:name w:val="Opi_Para"/>
    <w:basedOn w:val="ECHRPara"/>
    <w:uiPriority w:val="46"/>
    <w:qFormat/>
    <w:rsid w:val="00AC7A4A"/>
  </w:style>
  <w:style w:type="paragraph" w:customStyle="1" w:styleId="OpiParaSub">
    <w:name w:val="Opi_Para_Sub"/>
    <w:basedOn w:val="JuParaSub"/>
    <w:uiPriority w:val="47"/>
    <w:qFormat/>
    <w:rsid w:val="00AC7A4A"/>
  </w:style>
  <w:style w:type="paragraph" w:customStyle="1" w:styleId="OpiQuot">
    <w:name w:val="Opi_Quot"/>
    <w:basedOn w:val="ECHRParaQuote"/>
    <w:uiPriority w:val="48"/>
    <w:qFormat/>
    <w:rsid w:val="00AC7A4A"/>
  </w:style>
  <w:style w:type="paragraph" w:customStyle="1" w:styleId="OpiQuotSub">
    <w:name w:val="Opi_Quot_Sub"/>
    <w:basedOn w:val="JuQuotSub"/>
    <w:uiPriority w:val="49"/>
    <w:qFormat/>
    <w:rsid w:val="00AC7A4A"/>
  </w:style>
  <w:style w:type="paragraph" w:customStyle="1" w:styleId="OpiTranslation">
    <w:name w:val="Opi_Translation"/>
    <w:basedOn w:val="Normal"/>
    <w:next w:val="OpiPara"/>
    <w:uiPriority w:val="40"/>
    <w:qFormat/>
    <w:rsid w:val="00AC7A4A"/>
    <w:pPr>
      <w:jc w:val="center"/>
      <w:outlineLvl w:val="0"/>
    </w:pPr>
    <w:rPr>
      <w:i/>
    </w:rPr>
  </w:style>
  <w:style w:type="character" w:customStyle="1" w:styleId="ECHRParaChar">
    <w:name w:val="ECHR_Para Char"/>
    <w:aliases w:val="Ju_Para Char"/>
    <w:basedOn w:val="DefaultParagraphFont"/>
    <w:link w:val="ECHRPara"/>
    <w:uiPriority w:val="12"/>
    <w:rsid w:val="00F41178"/>
    <w:rPr>
      <w:rFonts w:eastAsiaTheme="minorEastAsia"/>
      <w:sz w:val="24"/>
    </w:rPr>
  </w:style>
  <w:style w:type="character" w:customStyle="1" w:styleId="CLLItalic">
    <w:name w:val="CLL_Italic"/>
    <w:basedOn w:val="DefaultParagraphFont"/>
    <w:uiPriority w:val="1"/>
    <w:rsid w:val="00B26C20"/>
    <w:rPr>
      <w:i/>
      <w:iCs/>
      <w:color w:val="auto"/>
      <w:lang w:val="en-GB"/>
    </w:rPr>
  </w:style>
  <w:style w:type="paragraph" w:customStyle="1" w:styleId="jupara">
    <w:name w:val="jupara"/>
    <w:basedOn w:val="Normal"/>
    <w:rsid w:val="00B862DA"/>
    <w:pPr>
      <w:ind w:firstLine="284"/>
    </w:pPr>
    <w:rPr>
      <w:rFonts w:ascii="Times New Roman" w:eastAsia="Times New Roman" w:hAnsi="Times New Roman" w:cs="Times New Roman"/>
      <w:szCs w:val="24"/>
      <w:lang w:val="en-GB" w:eastAsia="en-GB"/>
    </w:rPr>
  </w:style>
  <w:style w:type="paragraph" w:customStyle="1" w:styleId="jucase0">
    <w:name w:val="jucase"/>
    <w:basedOn w:val="Normal"/>
    <w:rsid w:val="00B862DA"/>
    <w:pPr>
      <w:ind w:firstLine="284"/>
    </w:pPr>
    <w:rPr>
      <w:rFonts w:ascii="Times New Roman" w:eastAsia="Times New Roman" w:hAnsi="Times New Roman" w:cs="Times New Roman"/>
      <w:b/>
      <w:bCs/>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3F9F64-7F60-4652-98D5-107E2161F389}"/>
</file>

<file path=customXml/itemProps2.xml><?xml version="1.0" encoding="utf-8"?>
<ds:datastoreItem xmlns:ds="http://schemas.openxmlformats.org/officeDocument/2006/customXml" ds:itemID="{17D94155-705C-41CB-8367-E6741A8E55DA}"/>
</file>

<file path=customXml/itemProps3.xml><?xml version="1.0" encoding="utf-8"?>
<ds:datastoreItem xmlns:ds="http://schemas.openxmlformats.org/officeDocument/2006/customXml" ds:itemID="{406CD1C3-FB07-4E79-9EF1-4E723E651A71}"/>
</file>

<file path=customXml/itemProps4.xml><?xml version="1.0" encoding="utf-8"?>
<ds:datastoreItem xmlns:ds="http://schemas.openxmlformats.org/officeDocument/2006/customXml" ds:itemID="{950E2605-1E26-4C05-9826-0217A418031E}"/>
</file>

<file path=docProps/app.xml><?xml version="1.0" encoding="utf-8"?>
<Properties xmlns="http://schemas.openxmlformats.org/officeDocument/2006/extended-properties" xmlns:vt="http://schemas.openxmlformats.org/officeDocument/2006/docPropsVTypes">
  <Template>Normal.dotm</Template>
  <TotalTime>0</TotalTime>
  <Pages>1</Pages>
  <Words>2848</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19044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JUD</dc:subject>
  <dc:creator/>
  <cp:lastModifiedBy/>
  <cp:revision>1</cp:revision>
  <dcterms:created xsi:type="dcterms:W3CDTF">2017-08-25T07:08:00Z</dcterms:created>
  <dcterms:modified xsi:type="dcterms:W3CDTF">2017-08-25T07:08:00Z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11800/10</vt:lpwstr>
  </property>
  <property fmtid="{D5CDD505-2E9C-101B-9397-08002B2CF9AE}" pid="4" name="CASEID">
    <vt:lpwstr>625833</vt:lpwstr>
  </property>
  <property fmtid="{D5CDD505-2E9C-101B-9397-08002B2CF9AE}" pid="5" name="ContentTypeId">
    <vt:lpwstr>0x010100558EB02BDB9E204AB350EDD385B68E10</vt:lpwstr>
  </property>
</Properties>
</file>